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A568" w14:textId="77777777" w:rsidR="00992DD9" w:rsidRDefault="00992DD9" w:rsidP="00F82756">
      <w:pPr>
        <w:jc w:val="center"/>
        <w:rPr>
          <w:rFonts w:cstheme="minorHAnsi"/>
          <w:b/>
          <w:bCs/>
          <w:sz w:val="24"/>
          <w:szCs w:val="24"/>
          <w:u w:val="single"/>
          <w:lang w:val="en-US"/>
        </w:rPr>
      </w:pPr>
    </w:p>
    <w:p w14:paraId="235AE83E" w14:textId="50AB8211" w:rsidR="00F725BD" w:rsidRPr="00992DD9" w:rsidRDefault="00F725BD" w:rsidP="00F82756">
      <w:pPr>
        <w:jc w:val="center"/>
        <w:rPr>
          <w:rFonts w:cstheme="minorHAnsi"/>
          <w:b/>
          <w:bCs/>
          <w:sz w:val="24"/>
          <w:szCs w:val="24"/>
          <w:u w:val="single"/>
          <w:lang w:val="en-US"/>
        </w:rPr>
      </w:pPr>
      <w:r w:rsidRPr="00992DD9">
        <w:rPr>
          <w:rFonts w:cstheme="minorHAnsi"/>
          <w:b/>
          <w:bCs/>
          <w:sz w:val="24"/>
          <w:szCs w:val="24"/>
          <w:u w:val="single"/>
          <w:lang w:val="en-US"/>
        </w:rPr>
        <w:t xml:space="preserve">Joint </w:t>
      </w:r>
      <w:r w:rsidR="005B2C9B" w:rsidRPr="00992DD9">
        <w:rPr>
          <w:rFonts w:cstheme="minorHAnsi"/>
          <w:b/>
          <w:bCs/>
          <w:sz w:val="24"/>
          <w:szCs w:val="24"/>
          <w:u w:val="single"/>
          <w:lang w:val="en-GB"/>
        </w:rPr>
        <w:t>recommendations</w:t>
      </w:r>
      <w:r w:rsidRPr="00992DD9">
        <w:rPr>
          <w:rFonts w:cstheme="minorHAnsi"/>
          <w:b/>
          <w:bCs/>
          <w:sz w:val="24"/>
          <w:szCs w:val="24"/>
          <w:u w:val="single"/>
          <w:lang w:val="en-GB"/>
        </w:rPr>
        <w:t xml:space="preserve"> on </w:t>
      </w:r>
      <w:r w:rsidR="00F82756" w:rsidRPr="00992DD9">
        <w:rPr>
          <w:rFonts w:cstheme="minorHAnsi"/>
          <w:b/>
          <w:bCs/>
          <w:sz w:val="24"/>
          <w:szCs w:val="24"/>
          <w:u w:val="single"/>
          <w:lang w:val="en-GB"/>
        </w:rPr>
        <w:t>safe and healthy workplaces in the Chemical, Pharmaceutical, Plastics and Rubber Industries in times of</w:t>
      </w:r>
      <w:r w:rsidRPr="00992DD9">
        <w:rPr>
          <w:rFonts w:cstheme="minorHAnsi"/>
          <w:b/>
          <w:bCs/>
          <w:sz w:val="24"/>
          <w:szCs w:val="24"/>
          <w:u w:val="single"/>
          <w:lang w:val="en-GB"/>
        </w:rPr>
        <w:t xml:space="preserve"> COVID-19 </w:t>
      </w:r>
    </w:p>
    <w:p w14:paraId="20D46605" w14:textId="77777777" w:rsidR="005B2C9B" w:rsidRPr="00992DD9" w:rsidRDefault="005B2C9B">
      <w:pPr>
        <w:rPr>
          <w:rFonts w:cstheme="minorHAnsi"/>
          <w:b/>
          <w:bCs/>
          <w:sz w:val="24"/>
          <w:szCs w:val="24"/>
          <w:lang w:val="en-US"/>
        </w:rPr>
      </w:pPr>
    </w:p>
    <w:p w14:paraId="202FD420" w14:textId="51324A35" w:rsidR="005B2C9B" w:rsidRPr="00F82756" w:rsidRDefault="005B2C9B">
      <w:pPr>
        <w:rPr>
          <w:rFonts w:cstheme="minorHAnsi"/>
          <w:sz w:val="24"/>
          <w:szCs w:val="24"/>
          <w:lang w:val="en-GB"/>
        </w:rPr>
      </w:pPr>
      <w:r>
        <w:rPr>
          <w:rFonts w:cstheme="minorHAnsi"/>
          <w:sz w:val="24"/>
          <w:szCs w:val="24"/>
          <w:lang w:val="en-GB"/>
        </w:rPr>
        <w:t xml:space="preserve">The Covid-19 crisis hit Europe unprepared, the virus posed unseen and unforeseen challenges to governments, </w:t>
      </w:r>
      <w:proofErr w:type="gramStart"/>
      <w:r>
        <w:rPr>
          <w:rFonts w:cstheme="minorHAnsi"/>
          <w:sz w:val="24"/>
          <w:szCs w:val="24"/>
          <w:lang w:val="en-GB"/>
        </w:rPr>
        <w:t>companies</w:t>
      </w:r>
      <w:proofErr w:type="gramEnd"/>
      <w:r>
        <w:rPr>
          <w:rFonts w:cstheme="minorHAnsi"/>
          <w:sz w:val="24"/>
          <w:szCs w:val="24"/>
          <w:lang w:val="en-GB"/>
        </w:rPr>
        <w:t xml:space="preserve"> and workers. After a few months of emergency responses – from suspended, </w:t>
      </w:r>
      <w:proofErr w:type="gramStart"/>
      <w:r>
        <w:rPr>
          <w:rFonts w:cstheme="minorHAnsi"/>
          <w:sz w:val="24"/>
          <w:szCs w:val="24"/>
          <w:lang w:val="en-GB"/>
        </w:rPr>
        <w:t>reduced</w:t>
      </w:r>
      <w:proofErr w:type="gramEnd"/>
      <w:r>
        <w:rPr>
          <w:rFonts w:cstheme="minorHAnsi"/>
          <w:sz w:val="24"/>
          <w:szCs w:val="24"/>
          <w:lang w:val="en-GB"/>
        </w:rPr>
        <w:t xml:space="preserve"> or increased production (depending on the sector) to the quest to secure personal protective equipment – Europe now embarks on the next step towards a new normal. For Occupational Safety and Health at wor</w:t>
      </w:r>
      <w:r w:rsidR="00614982">
        <w:rPr>
          <w:rFonts w:cstheme="minorHAnsi"/>
          <w:sz w:val="24"/>
          <w:szCs w:val="24"/>
          <w:lang w:val="en-GB"/>
        </w:rPr>
        <w:t xml:space="preserve">k, this means a wide range of measures and precautions for all occupations and workplaces. Many companies have already established resumption or continuity plans, management and trade unions have cooperated to ensure safe working conditions. Some are still looking for guidance as they proceed with a step-by-step restart of their operations. </w:t>
      </w:r>
    </w:p>
    <w:p w14:paraId="4B9EFF60" w14:textId="77777777" w:rsidR="005B2C9B" w:rsidRPr="00992DD9" w:rsidRDefault="005B2C9B">
      <w:pPr>
        <w:rPr>
          <w:rFonts w:cstheme="minorHAnsi"/>
          <w:b/>
          <w:bCs/>
          <w:sz w:val="24"/>
          <w:szCs w:val="24"/>
          <w:lang w:val="en-US"/>
        </w:rPr>
      </w:pPr>
    </w:p>
    <w:p w14:paraId="035C69BE" w14:textId="65E98BA4" w:rsidR="00F21D4B" w:rsidRPr="00992DD9" w:rsidRDefault="00F21D4B">
      <w:pPr>
        <w:rPr>
          <w:rFonts w:cstheme="minorHAnsi"/>
          <w:b/>
          <w:bCs/>
          <w:sz w:val="24"/>
          <w:szCs w:val="24"/>
          <w:lang w:val="en-US"/>
        </w:rPr>
      </w:pPr>
      <w:r w:rsidRPr="00992DD9">
        <w:rPr>
          <w:rFonts w:cstheme="minorHAnsi"/>
          <w:b/>
          <w:bCs/>
          <w:sz w:val="24"/>
          <w:szCs w:val="24"/>
          <w:lang w:val="en-US"/>
        </w:rPr>
        <w:t>Objective:</w:t>
      </w:r>
    </w:p>
    <w:p w14:paraId="1F182E59" w14:textId="7BFCFD6A" w:rsidR="00F21D4B" w:rsidRPr="00992DD9" w:rsidRDefault="005B2C9B" w:rsidP="00F21D4B">
      <w:pPr>
        <w:autoSpaceDE w:val="0"/>
        <w:autoSpaceDN w:val="0"/>
        <w:adjustRightInd w:val="0"/>
        <w:spacing w:after="0" w:line="240" w:lineRule="auto"/>
        <w:rPr>
          <w:rFonts w:cstheme="minorHAnsi"/>
          <w:sz w:val="24"/>
          <w:szCs w:val="24"/>
          <w:lang w:val="en-US"/>
        </w:rPr>
      </w:pPr>
      <w:r>
        <w:rPr>
          <w:rFonts w:cstheme="minorHAnsi"/>
          <w:sz w:val="24"/>
          <w:szCs w:val="24"/>
          <w:lang w:val="en-GB"/>
        </w:rPr>
        <w:t xml:space="preserve">The Social Partners of the Chemical, Pharmaceutical, Plastics and Rubber Industries, </w:t>
      </w:r>
      <w:proofErr w:type="spellStart"/>
      <w:r>
        <w:rPr>
          <w:rFonts w:cstheme="minorHAnsi"/>
          <w:sz w:val="24"/>
          <w:szCs w:val="24"/>
          <w:lang w:val="en-GB"/>
        </w:rPr>
        <w:t>industriAll</w:t>
      </w:r>
      <w:proofErr w:type="spellEnd"/>
      <w:r>
        <w:rPr>
          <w:rFonts w:cstheme="minorHAnsi"/>
          <w:sz w:val="24"/>
          <w:szCs w:val="24"/>
          <w:lang w:val="en-GB"/>
        </w:rPr>
        <w:t xml:space="preserve"> Europe</w:t>
      </w:r>
      <w:r w:rsidR="004A5577">
        <w:rPr>
          <w:rFonts w:cstheme="minorHAnsi"/>
          <w:sz w:val="24"/>
          <w:szCs w:val="24"/>
          <w:lang w:val="en-GB"/>
        </w:rPr>
        <w:t>an Trade Union</w:t>
      </w:r>
      <w:r>
        <w:rPr>
          <w:rFonts w:cstheme="minorHAnsi"/>
          <w:sz w:val="24"/>
          <w:szCs w:val="24"/>
          <w:lang w:val="en-GB"/>
        </w:rPr>
        <w:t xml:space="preserve"> and the European Chemical Employers Group (ECEG) wish to express their commitment to a swift economic recovery, fully respecting safe and healthy work conditions in the entire industry.</w:t>
      </w:r>
      <w:r w:rsidR="00F21D4B" w:rsidRPr="00992DD9">
        <w:rPr>
          <w:rFonts w:cstheme="minorHAnsi"/>
          <w:sz w:val="24"/>
          <w:szCs w:val="24"/>
          <w:lang w:val="en-US"/>
        </w:rPr>
        <w:t xml:space="preserve">  </w:t>
      </w:r>
    </w:p>
    <w:p w14:paraId="7B13732E" w14:textId="77777777" w:rsidR="002762A9" w:rsidRPr="00992DD9" w:rsidRDefault="002762A9" w:rsidP="00F21D4B">
      <w:pPr>
        <w:autoSpaceDE w:val="0"/>
        <w:autoSpaceDN w:val="0"/>
        <w:adjustRightInd w:val="0"/>
        <w:spacing w:after="0" w:line="240" w:lineRule="auto"/>
        <w:rPr>
          <w:rFonts w:cstheme="minorHAnsi"/>
          <w:sz w:val="24"/>
          <w:szCs w:val="24"/>
          <w:lang w:val="en-US"/>
        </w:rPr>
      </w:pPr>
    </w:p>
    <w:p w14:paraId="769EA068" w14:textId="0CEF13AF" w:rsidR="00F725BD" w:rsidRPr="00992DD9" w:rsidRDefault="00F725BD">
      <w:pPr>
        <w:autoSpaceDE w:val="0"/>
        <w:autoSpaceDN w:val="0"/>
        <w:adjustRightInd w:val="0"/>
        <w:spacing w:after="0" w:line="240" w:lineRule="auto"/>
        <w:rPr>
          <w:rFonts w:cstheme="minorHAnsi"/>
          <w:sz w:val="24"/>
          <w:szCs w:val="24"/>
          <w:lang w:val="en-US"/>
        </w:rPr>
      </w:pPr>
      <w:r w:rsidRPr="00992DD9">
        <w:rPr>
          <w:rFonts w:cstheme="minorHAnsi"/>
          <w:sz w:val="24"/>
          <w:szCs w:val="24"/>
          <w:lang w:val="en-US"/>
        </w:rPr>
        <w:t xml:space="preserve">Understanding that there can be no “one size fits all” approach, </w:t>
      </w:r>
      <w:r w:rsidR="00AE331C">
        <w:rPr>
          <w:rFonts w:cstheme="minorHAnsi"/>
          <w:sz w:val="24"/>
          <w:szCs w:val="24"/>
          <w:lang w:val="en-GB"/>
        </w:rPr>
        <w:t xml:space="preserve">ECEG and </w:t>
      </w:r>
      <w:proofErr w:type="spellStart"/>
      <w:r w:rsidR="00AE331C">
        <w:rPr>
          <w:rFonts w:cstheme="minorHAnsi"/>
          <w:sz w:val="24"/>
          <w:szCs w:val="24"/>
          <w:lang w:val="en-GB"/>
        </w:rPr>
        <w:t>industriAll</w:t>
      </w:r>
      <w:proofErr w:type="spellEnd"/>
      <w:r w:rsidR="00AE331C">
        <w:rPr>
          <w:rFonts w:cstheme="minorHAnsi"/>
          <w:sz w:val="24"/>
          <w:szCs w:val="24"/>
          <w:lang w:val="en-GB"/>
        </w:rPr>
        <w:t xml:space="preserve"> Europe wish to draw attention to the guidelines</w:t>
      </w:r>
      <w:r w:rsidRPr="00992DD9">
        <w:rPr>
          <w:rFonts w:cstheme="minorHAnsi"/>
          <w:sz w:val="24"/>
          <w:szCs w:val="24"/>
          <w:lang w:val="en-US"/>
        </w:rPr>
        <w:t xml:space="preserve"> issue</w:t>
      </w:r>
      <w:r w:rsidR="00AE331C">
        <w:rPr>
          <w:rFonts w:cstheme="minorHAnsi"/>
          <w:sz w:val="24"/>
          <w:szCs w:val="24"/>
          <w:lang w:val="en-GB"/>
        </w:rPr>
        <w:t>d by tripartite entities such as EU-OSHA</w:t>
      </w:r>
      <w:r w:rsidR="00F82756">
        <w:rPr>
          <w:rStyle w:val="FootnoteReference"/>
          <w:rFonts w:cstheme="minorHAnsi"/>
          <w:sz w:val="24"/>
          <w:szCs w:val="24"/>
          <w:lang w:val="en-GB"/>
        </w:rPr>
        <w:footnoteReference w:id="1"/>
      </w:r>
      <w:r w:rsidR="00AE331C">
        <w:rPr>
          <w:rFonts w:cstheme="minorHAnsi"/>
          <w:sz w:val="24"/>
          <w:szCs w:val="24"/>
          <w:lang w:val="en-GB"/>
        </w:rPr>
        <w:t xml:space="preserve"> or ILO</w:t>
      </w:r>
      <w:r w:rsidR="00AE331C">
        <w:rPr>
          <w:rStyle w:val="FootnoteReference"/>
          <w:rFonts w:cstheme="minorHAnsi"/>
          <w:sz w:val="24"/>
          <w:szCs w:val="24"/>
          <w:lang w:val="en-GB"/>
        </w:rPr>
        <w:footnoteReference w:id="2"/>
      </w:r>
      <w:r w:rsidRPr="00992DD9">
        <w:rPr>
          <w:rFonts w:cstheme="minorHAnsi"/>
          <w:sz w:val="24"/>
          <w:szCs w:val="24"/>
          <w:lang w:val="en-US"/>
        </w:rPr>
        <w:t xml:space="preserve"> </w:t>
      </w:r>
      <w:r w:rsidR="00AE331C">
        <w:rPr>
          <w:rFonts w:cstheme="minorHAnsi"/>
          <w:sz w:val="24"/>
          <w:szCs w:val="24"/>
          <w:lang w:val="en-GB"/>
        </w:rPr>
        <w:t xml:space="preserve">on the safe return to work and share examples of sector agreements already negotiated. </w:t>
      </w:r>
    </w:p>
    <w:p w14:paraId="1CB3F0E2" w14:textId="77777777" w:rsidR="00F725BD" w:rsidRPr="00992DD9" w:rsidRDefault="00F725BD" w:rsidP="00F725BD">
      <w:pPr>
        <w:autoSpaceDE w:val="0"/>
        <w:autoSpaceDN w:val="0"/>
        <w:adjustRightInd w:val="0"/>
        <w:spacing w:after="0" w:line="240" w:lineRule="auto"/>
        <w:rPr>
          <w:rFonts w:cstheme="minorHAnsi"/>
          <w:sz w:val="24"/>
          <w:szCs w:val="24"/>
          <w:lang w:val="en-US"/>
        </w:rPr>
      </w:pPr>
    </w:p>
    <w:p w14:paraId="367EE18E" w14:textId="4E6E7ED5" w:rsidR="00AE331C" w:rsidRDefault="002762A9" w:rsidP="002D5A73">
      <w:pPr>
        <w:autoSpaceDE w:val="0"/>
        <w:autoSpaceDN w:val="0"/>
        <w:adjustRightInd w:val="0"/>
        <w:spacing w:after="0" w:line="240" w:lineRule="auto"/>
        <w:rPr>
          <w:rFonts w:cstheme="minorHAnsi"/>
          <w:sz w:val="24"/>
          <w:szCs w:val="24"/>
          <w:lang w:val="en-GB"/>
        </w:rPr>
      </w:pPr>
      <w:r w:rsidRPr="00992DD9">
        <w:rPr>
          <w:rFonts w:cstheme="minorHAnsi"/>
          <w:sz w:val="24"/>
          <w:szCs w:val="24"/>
          <w:lang w:val="en-US"/>
        </w:rPr>
        <w:t xml:space="preserve">These recommendations are meant to support employers and protect workers </w:t>
      </w:r>
      <w:r w:rsidR="00AE331C">
        <w:rPr>
          <w:rFonts w:cstheme="minorHAnsi"/>
          <w:sz w:val="24"/>
          <w:szCs w:val="24"/>
          <w:lang w:val="en-GB"/>
        </w:rPr>
        <w:t xml:space="preserve">in the world of work and </w:t>
      </w:r>
      <w:r w:rsidR="00614982">
        <w:rPr>
          <w:rFonts w:cstheme="minorHAnsi"/>
          <w:sz w:val="24"/>
          <w:szCs w:val="24"/>
          <w:lang w:val="en-GB"/>
        </w:rPr>
        <w:t xml:space="preserve">to </w:t>
      </w:r>
      <w:r w:rsidR="00ED5FE8" w:rsidRPr="00DE2F09">
        <w:rPr>
          <w:rFonts w:cstheme="minorHAnsi"/>
          <w:sz w:val="24"/>
          <w:szCs w:val="24"/>
          <w:lang w:val="en-GB"/>
        </w:rPr>
        <w:t>encourage</w:t>
      </w:r>
      <w:r w:rsidR="00ED5FE8">
        <w:rPr>
          <w:rFonts w:cstheme="minorHAnsi"/>
          <w:sz w:val="24"/>
          <w:szCs w:val="24"/>
          <w:lang w:val="en-GB"/>
        </w:rPr>
        <w:t xml:space="preserve"> </w:t>
      </w:r>
      <w:r w:rsidR="00AE331C">
        <w:rPr>
          <w:rFonts w:cstheme="minorHAnsi"/>
          <w:sz w:val="24"/>
          <w:szCs w:val="24"/>
          <w:lang w:val="en-GB"/>
        </w:rPr>
        <w:t>that workers and their relevant committees or representative bodies are involved in</w:t>
      </w:r>
      <w:r w:rsidR="00ED3E41">
        <w:rPr>
          <w:rFonts w:cstheme="minorHAnsi"/>
          <w:sz w:val="24"/>
          <w:szCs w:val="24"/>
          <w:lang w:val="en-GB"/>
        </w:rPr>
        <w:t xml:space="preserve"> general</w:t>
      </w:r>
      <w:r w:rsidR="000F3F14">
        <w:rPr>
          <w:rFonts w:cstheme="minorHAnsi"/>
          <w:sz w:val="24"/>
          <w:szCs w:val="24"/>
          <w:lang w:val="en-GB"/>
        </w:rPr>
        <w:t xml:space="preserve"> </w:t>
      </w:r>
      <w:r w:rsidR="00AE331C">
        <w:rPr>
          <w:rFonts w:cstheme="minorHAnsi"/>
          <w:sz w:val="24"/>
          <w:szCs w:val="24"/>
          <w:lang w:val="en-GB"/>
        </w:rPr>
        <w:t>risk</w:t>
      </w:r>
      <w:r w:rsidR="00ED3E41">
        <w:rPr>
          <w:rFonts w:cstheme="minorHAnsi"/>
          <w:sz w:val="24"/>
          <w:szCs w:val="24"/>
          <w:lang w:val="en-GB"/>
        </w:rPr>
        <w:t xml:space="preserve"> assessment</w:t>
      </w:r>
      <w:r w:rsidR="00AE331C">
        <w:rPr>
          <w:rFonts w:cstheme="minorHAnsi"/>
          <w:sz w:val="24"/>
          <w:szCs w:val="24"/>
          <w:lang w:val="en-GB"/>
        </w:rPr>
        <w:t xml:space="preserve">, </w:t>
      </w:r>
      <w:proofErr w:type="gramStart"/>
      <w:r w:rsidR="00AE331C">
        <w:rPr>
          <w:rFonts w:cstheme="minorHAnsi"/>
          <w:sz w:val="24"/>
          <w:szCs w:val="24"/>
          <w:lang w:val="en-GB"/>
        </w:rPr>
        <w:t>design</w:t>
      </w:r>
      <w:proofErr w:type="gramEnd"/>
      <w:r w:rsidR="00AE331C">
        <w:rPr>
          <w:rFonts w:cstheme="minorHAnsi"/>
          <w:sz w:val="24"/>
          <w:szCs w:val="24"/>
          <w:lang w:val="en-GB"/>
        </w:rPr>
        <w:t xml:space="preserve"> and implementation of measures. </w:t>
      </w:r>
    </w:p>
    <w:p w14:paraId="59396EE5" w14:textId="77777777" w:rsidR="00AE331C" w:rsidRDefault="00AE331C" w:rsidP="002D5A73">
      <w:pPr>
        <w:autoSpaceDE w:val="0"/>
        <w:autoSpaceDN w:val="0"/>
        <w:adjustRightInd w:val="0"/>
        <w:spacing w:after="0" w:line="240" w:lineRule="auto"/>
        <w:rPr>
          <w:rFonts w:cstheme="minorHAnsi"/>
          <w:sz w:val="24"/>
          <w:szCs w:val="24"/>
          <w:lang w:val="en-GB"/>
        </w:rPr>
      </w:pPr>
    </w:p>
    <w:p w14:paraId="3A5E0E85" w14:textId="7DD9BF59" w:rsidR="002762A9" w:rsidRDefault="00AE331C" w:rsidP="002D5A73">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The Annex to this statement provides a collection of agreements or recommendations of our member </w:t>
      </w:r>
      <w:proofErr w:type="gramStart"/>
      <w:r>
        <w:rPr>
          <w:rFonts w:cstheme="minorHAnsi"/>
          <w:sz w:val="24"/>
          <w:szCs w:val="24"/>
          <w:lang w:val="en-GB"/>
        </w:rPr>
        <w:t>organisations, and</w:t>
      </w:r>
      <w:proofErr w:type="gramEnd"/>
      <w:r>
        <w:rPr>
          <w:rFonts w:cstheme="minorHAnsi"/>
          <w:sz w:val="24"/>
          <w:szCs w:val="24"/>
          <w:lang w:val="en-GB"/>
        </w:rPr>
        <w:t xml:space="preserve"> will be updated whenever </w:t>
      </w:r>
      <w:proofErr w:type="spellStart"/>
      <w:r>
        <w:rPr>
          <w:rFonts w:cstheme="minorHAnsi"/>
          <w:sz w:val="24"/>
          <w:szCs w:val="24"/>
          <w:lang w:val="en-GB"/>
        </w:rPr>
        <w:t>industriAll</w:t>
      </w:r>
      <w:proofErr w:type="spellEnd"/>
      <w:r>
        <w:rPr>
          <w:rFonts w:cstheme="minorHAnsi"/>
          <w:sz w:val="24"/>
          <w:szCs w:val="24"/>
          <w:lang w:val="en-GB"/>
        </w:rPr>
        <w:t xml:space="preserve"> Europe or ECEG receive additional examples.</w:t>
      </w:r>
    </w:p>
    <w:p w14:paraId="258EC0E1" w14:textId="708A41D7" w:rsidR="00992DD9" w:rsidRDefault="00992DD9" w:rsidP="002D5A73">
      <w:pPr>
        <w:autoSpaceDE w:val="0"/>
        <w:autoSpaceDN w:val="0"/>
        <w:adjustRightInd w:val="0"/>
        <w:spacing w:after="0" w:line="240" w:lineRule="auto"/>
        <w:rPr>
          <w:rFonts w:cstheme="minorHAnsi"/>
          <w:sz w:val="24"/>
          <w:szCs w:val="24"/>
          <w:lang w:val="en-GB"/>
        </w:rPr>
      </w:pPr>
    </w:p>
    <w:p w14:paraId="030CC79A" w14:textId="1C52010A" w:rsidR="00992DD9" w:rsidRDefault="00992DD9" w:rsidP="002D5A73">
      <w:pPr>
        <w:autoSpaceDE w:val="0"/>
        <w:autoSpaceDN w:val="0"/>
        <w:adjustRightInd w:val="0"/>
        <w:spacing w:after="0" w:line="240" w:lineRule="auto"/>
        <w:rPr>
          <w:rFonts w:cstheme="minorHAnsi"/>
          <w:sz w:val="24"/>
          <w:szCs w:val="24"/>
          <w:lang w:val="en-GB"/>
        </w:rPr>
      </w:pPr>
    </w:p>
    <w:p w14:paraId="10FEA8EA" w14:textId="14A2E00B" w:rsidR="00992DD9" w:rsidRDefault="00992DD9" w:rsidP="002D5A73">
      <w:pPr>
        <w:autoSpaceDE w:val="0"/>
        <w:autoSpaceDN w:val="0"/>
        <w:adjustRightInd w:val="0"/>
        <w:spacing w:after="0" w:line="240" w:lineRule="auto"/>
        <w:rPr>
          <w:rFonts w:cstheme="minorHAnsi"/>
          <w:sz w:val="24"/>
          <w:szCs w:val="24"/>
          <w:lang w:val="en-GB"/>
        </w:rPr>
      </w:pPr>
    </w:p>
    <w:p w14:paraId="4779C0F7" w14:textId="24EC9BB3" w:rsidR="00992DD9" w:rsidRDefault="00992DD9" w:rsidP="002D5A73">
      <w:pPr>
        <w:autoSpaceDE w:val="0"/>
        <w:autoSpaceDN w:val="0"/>
        <w:adjustRightInd w:val="0"/>
        <w:spacing w:after="0" w:line="240" w:lineRule="auto"/>
        <w:rPr>
          <w:rFonts w:cstheme="minorHAnsi"/>
          <w:sz w:val="24"/>
          <w:szCs w:val="24"/>
          <w:lang w:val="en-GB"/>
        </w:rPr>
      </w:pPr>
    </w:p>
    <w:p w14:paraId="241DDEF2" w14:textId="28FEB73E" w:rsidR="00992DD9" w:rsidRDefault="00992DD9" w:rsidP="002D5A73">
      <w:pPr>
        <w:autoSpaceDE w:val="0"/>
        <w:autoSpaceDN w:val="0"/>
        <w:adjustRightInd w:val="0"/>
        <w:spacing w:after="0" w:line="240" w:lineRule="auto"/>
        <w:rPr>
          <w:rFonts w:cstheme="minorHAnsi"/>
          <w:sz w:val="24"/>
          <w:szCs w:val="24"/>
          <w:lang w:val="en-GB"/>
        </w:rPr>
      </w:pPr>
    </w:p>
    <w:p w14:paraId="4EC88A62" w14:textId="77777777" w:rsidR="00992DD9" w:rsidRPr="00992DD9" w:rsidRDefault="00992DD9" w:rsidP="002D5A73">
      <w:pPr>
        <w:autoSpaceDE w:val="0"/>
        <w:autoSpaceDN w:val="0"/>
        <w:adjustRightInd w:val="0"/>
        <w:spacing w:after="0" w:line="240" w:lineRule="auto"/>
        <w:rPr>
          <w:rFonts w:cstheme="minorHAnsi"/>
          <w:sz w:val="24"/>
          <w:szCs w:val="24"/>
          <w:lang w:val="en-US"/>
        </w:rPr>
      </w:pPr>
    </w:p>
    <w:p w14:paraId="541C09E8" w14:textId="5498A35A" w:rsidR="00F21D4B" w:rsidRPr="00992DD9" w:rsidRDefault="00F21D4B">
      <w:pPr>
        <w:rPr>
          <w:rFonts w:cstheme="minorHAnsi"/>
          <w:sz w:val="24"/>
          <w:szCs w:val="24"/>
          <w:lang w:val="en-US"/>
        </w:rPr>
      </w:pPr>
    </w:p>
    <w:p w14:paraId="30F5F77E" w14:textId="47EC25B6" w:rsidR="003A7750" w:rsidRPr="00992DD9" w:rsidRDefault="00614982" w:rsidP="00171B0D">
      <w:pPr>
        <w:rPr>
          <w:rFonts w:cstheme="minorHAnsi"/>
          <w:b/>
          <w:bCs/>
          <w:sz w:val="24"/>
          <w:szCs w:val="24"/>
          <w:lang w:val="en-US"/>
        </w:rPr>
      </w:pPr>
      <w:r w:rsidRPr="00F82756">
        <w:rPr>
          <w:rFonts w:cstheme="minorHAnsi"/>
          <w:b/>
          <w:bCs/>
          <w:sz w:val="24"/>
          <w:szCs w:val="24"/>
          <w:lang w:val="en-GB"/>
        </w:rPr>
        <w:t>Social Dialogue at Company Level</w:t>
      </w:r>
    </w:p>
    <w:p w14:paraId="7DCD3DAD" w14:textId="77777777" w:rsidR="00992DD9" w:rsidRDefault="003A7750" w:rsidP="00AB3A2E">
      <w:pPr>
        <w:rPr>
          <w:rFonts w:cstheme="minorHAnsi"/>
          <w:sz w:val="24"/>
          <w:szCs w:val="24"/>
          <w:lang w:val="en-GB"/>
        </w:rPr>
      </w:pPr>
      <w:r w:rsidRPr="00992DD9">
        <w:rPr>
          <w:rFonts w:cstheme="minorHAnsi"/>
          <w:sz w:val="24"/>
          <w:szCs w:val="24"/>
          <w:lang w:val="en-US"/>
        </w:rPr>
        <w:t xml:space="preserve">Every business, whatever its size, is encouraged to </w:t>
      </w:r>
      <w:r w:rsidR="00AB3A2E" w:rsidRPr="00F82756">
        <w:rPr>
          <w:rFonts w:cstheme="minorHAnsi"/>
          <w:sz w:val="24"/>
          <w:szCs w:val="24"/>
          <w:lang w:val="en-GB"/>
        </w:rPr>
        <w:t>draw up (a)</w:t>
      </w:r>
      <w:r w:rsidRPr="00992DD9">
        <w:rPr>
          <w:rFonts w:cstheme="minorHAnsi"/>
          <w:sz w:val="24"/>
          <w:szCs w:val="24"/>
          <w:lang w:val="en-US"/>
        </w:rPr>
        <w:t xml:space="preserve"> contingency/continuity plan</w:t>
      </w:r>
      <w:r w:rsidR="00AB3A2E" w:rsidRPr="00F82756">
        <w:rPr>
          <w:rFonts w:cstheme="minorHAnsi"/>
          <w:sz w:val="24"/>
          <w:szCs w:val="24"/>
          <w:lang w:val="en-GB"/>
        </w:rPr>
        <w:t>(s)</w:t>
      </w:r>
      <w:r w:rsidRPr="00992DD9">
        <w:rPr>
          <w:rFonts w:cstheme="minorHAnsi"/>
          <w:sz w:val="24"/>
          <w:szCs w:val="24"/>
          <w:lang w:val="en-US"/>
        </w:rPr>
        <w:t xml:space="preserve"> to ensure the protection of its personnel and the maintenance of its activities. Social Dialogue a</w:t>
      </w:r>
      <w:proofErr w:type="spellStart"/>
      <w:r w:rsidR="00AB3A2E" w:rsidRPr="00F82756">
        <w:rPr>
          <w:rFonts w:cstheme="minorHAnsi"/>
          <w:sz w:val="24"/>
          <w:szCs w:val="24"/>
          <w:lang w:val="en-GB"/>
        </w:rPr>
        <w:t>nd</w:t>
      </w:r>
      <w:proofErr w:type="spellEnd"/>
      <w:r w:rsidRPr="00992DD9">
        <w:rPr>
          <w:rFonts w:cstheme="minorHAnsi"/>
          <w:sz w:val="24"/>
          <w:szCs w:val="24"/>
          <w:lang w:val="en-US"/>
        </w:rPr>
        <w:t xml:space="preserve"> the involvement of </w:t>
      </w:r>
      <w:r w:rsidR="00531BC8">
        <w:rPr>
          <w:rFonts w:cstheme="minorHAnsi"/>
          <w:sz w:val="24"/>
          <w:szCs w:val="24"/>
          <w:lang w:val="en-GB"/>
        </w:rPr>
        <w:t xml:space="preserve">workers’ </w:t>
      </w:r>
      <w:r w:rsidRPr="00992DD9">
        <w:rPr>
          <w:rFonts w:cstheme="minorHAnsi"/>
          <w:sz w:val="24"/>
          <w:szCs w:val="24"/>
          <w:lang w:val="en-US"/>
        </w:rPr>
        <w:t xml:space="preserve">health and safety representatives </w:t>
      </w:r>
      <w:r w:rsidR="00AB3A2E" w:rsidRPr="00F82756">
        <w:rPr>
          <w:rFonts w:cstheme="minorHAnsi"/>
          <w:sz w:val="24"/>
          <w:szCs w:val="24"/>
          <w:lang w:val="en-GB"/>
        </w:rPr>
        <w:t xml:space="preserve">are essential. </w:t>
      </w:r>
    </w:p>
    <w:p w14:paraId="32707DF1" w14:textId="54420214" w:rsidR="00AB3A2E" w:rsidRPr="00CB5C7F" w:rsidRDefault="00AB3A2E" w:rsidP="00AB3A2E">
      <w:pPr>
        <w:rPr>
          <w:rFonts w:cstheme="minorHAnsi"/>
          <w:sz w:val="24"/>
          <w:szCs w:val="24"/>
          <w:lang w:val="en-GB"/>
        </w:rPr>
      </w:pPr>
      <w:r w:rsidRPr="00F82756">
        <w:rPr>
          <w:rFonts w:cstheme="minorHAnsi"/>
          <w:sz w:val="24"/>
          <w:szCs w:val="24"/>
          <w:lang w:val="en-GB"/>
        </w:rPr>
        <w:t xml:space="preserve">ECEG and </w:t>
      </w:r>
      <w:proofErr w:type="spellStart"/>
      <w:r w:rsidRPr="00F82756">
        <w:rPr>
          <w:rFonts w:cstheme="minorHAnsi"/>
          <w:sz w:val="24"/>
          <w:szCs w:val="24"/>
          <w:lang w:val="en-GB"/>
        </w:rPr>
        <w:t>industriAll</w:t>
      </w:r>
      <w:proofErr w:type="spellEnd"/>
      <w:r w:rsidRPr="00F82756">
        <w:rPr>
          <w:rFonts w:cstheme="minorHAnsi"/>
          <w:sz w:val="24"/>
          <w:szCs w:val="24"/>
          <w:lang w:val="en-GB"/>
        </w:rPr>
        <w:t xml:space="preserve"> </w:t>
      </w:r>
      <w:r w:rsidR="004A5577">
        <w:rPr>
          <w:rFonts w:cstheme="minorHAnsi"/>
          <w:sz w:val="24"/>
          <w:szCs w:val="24"/>
          <w:lang w:val="en-GB"/>
        </w:rPr>
        <w:t xml:space="preserve">Europe </w:t>
      </w:r>
      <w:r w:rsidRPr="00F82756">
        <w:rPr>
          <w:rFonts w:cstheme="minorHAnsi"/>
          <w:sz w:val="24"/>
          <w:szCs w:val="24"/>
          <w:lang w:val="en-GB"/>
        </w:rPr>
        <w:t>recommend a</w:t>
      </w:r>
      <w:r w:rsidR="00240914">
        <w:rPr>
          <w:rFonts w:cstheme="minorHAnsi"/>
          <w:sz w:val="24"/>
          <w:szCs w:val="24"/>
          <w:lang w:val="en-GB"/>
        </w:rPr>
        <w:t xml:space="preserve"> general </w:t>
      </w:r>
      <w:r w:rsidRPr="00F82756">
        <w:rPr>
          <w:rFonts w:cstheme="minorHAnsi"/>
          <w:sz w:val="24"/>
          <w:szCs w:val="24"/>
          <w:lang w:val="en-GB"/>
        </w:rPr>
        <w:t>risk</w:t>
      </w:r>
      <w:r w:rsidR="00240914">
        <w:rPr>
          <w:rFonts w:cstheme="minorHAnsi"/>
          <w:sz w:val="24"/>
          <w:szCs w:val="24"/>
          <w:lang w:val="en-GB"/>
        </w:rPr>
        <w:t xml:space="preserve"> assessment</w:t>
      </w:r>
      <w:r w:rsidR="00AD4B4D">
        <w:rPr>
          <w:rStyle w:val="EndnoteReference"/>
          <w:rFonts w:cstheme="minorHAnsi"/>
          <w:sz w:val="24"/>
          <w:szCs w:val="24"/>
          <w:lang w:val="en-GB"/>
        </w:rPr>
        <w:endnoteReference w:id="1"/>
      </w:r>
      <w:r w:rsidR="001952C7">
        <w:rPr>
          <w:rFonts w:cstheme="minorHAnsi"/>
          <w:sz w:val="24"/>
          <w:szCs w:val="24"/>
          <w:lang w:val="en-GB"/>
        </w:rPr>
        <w:t>.</w:t>
      </w:r>
      <w:r w:rsidR="00531BC8">
        <w:rPr>
          <w:rFonts w:cstheme="minorHAnsi"/>
          <w:sz w:val="24"/>
          <w:szCs w:val="24"/>
          <w:lang w:val="en-GB"/>
        </w:rPr>
        <w:t xml:space="preserve"> </w:t>
      </w:r>
      <w:r w:rsidRPr="00F82756">
        <w:rPr>
          <w:rFonts w:cstheme="minorHAnsi"/>
          <w:sz w:val="24"/>
          <w:szCs w:val="24"/>
          <w:lang w:val="en-GB"/>
        </w:rPr>
        <w:t>Company level social partners should collaborate to identify and implement necessary measures. Plans should not only cover preventive measures but also establish emergency preparedness procedures in case of a new outbreak of the virus.</w:t>
      </w:r>
    </w:p>
    <w:p w14:paraId="7BB0C4AC" w14:textId="29FDD93E" w:rsidR="003A7750" w:rsidRPr="00F82756" w:rsidRDefault="00A423BC" w:rsidP="00171B0D">
      <w:pPr>
        <w:rPr>
          <w:rFonts w:cstheme="minorHAnsi"/>
          <w:sz w:val="24"/>
          <w:szCs w:val="24"/>
          <w:lang w:val="en-GB"/>
        </w:rPr>
      </w:pPr>
      <w:r w:rsidRPr="00830158">
        <w:rPr>
          <w:rFonts w:cstheme="minorHAnsi"/>
          <w:sz w:val="24"/>
          <w:szCs w:val="24"/>
          <w:lang w:val="en-GB"/>
        </w:rPr>
        <w:t>The adopted measures</w:t>
      </w:r>
      <w:r w:rsidR="00AB3A2E" w:rsidRPr="00F82756">
        <w:rPr>
          <w:rFonts w:cstheme="minorHAnsi"/>
          <w:sz w:val="24"/>
          <w:szCs w:val="24"/>
          <w:lang w:val="en-GB"/>
        </w:rPr>
        <w:t xml:space="preserve"> should </w:t>
      </w:r>
      <w:proofErr w:type="gramStart"/>
      <w:r w:rsidR="00AB3A2E" w:rsidRPr="00F82756">
        <w:rPr>
          <w:rFonts w:cstheme="minorHAnsi"/>
          <w:sz w:val="24"/>
          <w:szCs w:val="24"/>
          <w:lang w:val="en-GB"/>
        </w:rPr>
        <w:t>take into account</w:t>
      </w:r>
      <w:proofErr w:type="gramEnd"/>
      <w:r w:rsidR="00AB3A2E" w:rsidRPr="00F82756">
        <w:rPr>
          <w:rFonts w:cstheme="minorHAnsi"/>
          <w:sz w:val="24"/>
          <w:szCs w:val="24"/>
          <w:lang w:val="en-GB"/>
        </w:rPr>
        <w:t xml:space="preserve"> not only all </w:t>
      </w:r>
      <w:r w:rsidR="00B263F6" w:rsidRPr="00F82756">
        <w:rPr>
          <w:rFonts w:cstheme="minorHAnsi"/>
          <w:sz w:val="24"/>
          <w:szCs w:val="24"/>
          <w:lang w:val="en-GB"/>
        </w:rPr>
        <w:t>personnel</w:t>
      </w:r>
      <w:r w:rsidR="00AB3A2E" w:rsidRPr="00F82756">
        <w:rPr>
          <w:rFonts w:cstheme="minorHAnsi"/>
          <w:sz w:val="24"/>
          <w:szCs w:val="24"/>
          <w:lang w:val="en-GB"/>
        </w:rPr>
        <w:t xml:space="preserve"> but also suppliers, clients and visitors</w:t>
      </w:r>
      <w:r w:rsidR="00B263F6" w:rsidRPr="00F82756">
        <w:rPr>
          <w:rFonts w:cstheme="minorHAnsi"/>
          <w:sz w:val="24"/>
          <w:szCs w:val="24"/>
          <w:lang w:val="en-GB"/>
        </w:rPr>
        <w:t xml:space="preserve"> and ideally be repeated and reviewed regularly.</w:t>
      </w:r>
    </w:p>
    <w:p w14:paraId="3D9DFE6C" w14:textId="77777777" w:rsidR="00494840" w:rsidRPr="00992DD9" w:rsidRDefault="00494840" w:rsidP="003A7750">
      <w:pPr>
        <w:rPr>
          <w:rFonts w:cstheme="minorHAnsi"/>
          <w:b/>
          <w:bCs/>
          <w:sz w:val="24"/>
          <w:szCs w:val="24"/>
          <w:lang w:val="en-US"/>
        </w:rPr>
      </w:pPr>
    </w:p>
    <w:p w14:paraId="27D14654" w14:textId="4D5128FB" w:rsidR="003A7750" w:rsidRDefault="003A7750" w:rsidP="003A7750">
      <w:pPr>
        <w:rPr>
          <w:rFonts w:cstheme="minorHAnsi"/>
          <w:b/>
          <w:bCs/>
          <w:sz w:val="24"/>
          <w:szCs w:val="24"/>
          <w:lang w:val="en-GB"/>
        </w:rPr>
      </w:pPr>
      <w:r w:rsidRPr="00992DD9">
        <w:rPr>
          <w:rFonts w:cstheme="minorHAnsi"/>
          <w:b/>
          <w:bCs/>
          <w:sz w:val="24"/>
          <w:szCs w:val="24"/>
          <w:lang w:val="en-US"/>
        </w:rPr>
        <w:t xml:space="preserve">Information to employees </w:t>
      </w:r>
      <w:r>
        <w:rPr>
          <w:rFonts w:cstheme="minorHAnsi"/>
          <w:b/>
          <w:bCs/>
          <w:sz w:val="24"/>
          <w:szCs w:val="24"/>
          <w:lang w:val="en-GB"/>
        </w:rPr>
        <w:t>and visitors</w:t>
      </w:r>
    </w:p>
    <w:p w14:paraId="51719241" w14:textId="44C7C120" w:rsidR="00B01CCD" w:rsidRPr="00992DD9" w:rsidRDefault="003A7750" w:rsidP="003A7750">
      <w:pPr>
        <w:rPr>
          <w:rFonts w:cstheme="minorHAnsi"/>
          <w:sz w:val="24"/>
          <w:szCs w:val="24"/>
          <w:lang w:val="en-US"/>
        </w:rPr>
      </w:pPr>
      <w:r w:rsidRPr="00992DD9">
        <w:rPr>
          <w:rFonts w:cstheme="minorHAnsi"/>
          <w:sz w:val="24"/>
          <w:szCs w:val="24"/>
          <w:lang w:val="en-US"/>
        </w:rPr>
        <w:t xml:space="preserve">Communication is crucial. </w:t>
      </w:r>
    </w:p>
    <w:p w14:paraId="5A91D911" w14:textId="52184B50" w:rsidR="00B263F6" w:rsidRPr="00F82756" w:rsidRDefault="00B263F6" w:rsidP="00B263F6">
      <w:pPr>
        <w:rPr>
          <w:rFonts w:cstheme="minorHAnsi"/>
          <w:sz w:val="24"/>
          <w:szCs w:val="24"/>
          <w:lang w:val="en-GB"/>
        </w:rPr>
      </w:pPr>
      <w:r w:rsidRPr="00992DD9">
        <w:rPr>
          <w:rFonts w:cstheme="minorHAnsi"/>
          <w:sz w:val="24"/>
          <w:szCs w:val="24"/>
          <w:lang w:val="en-US"/>
        </w:rPr>
        <w:t xml:space="preserve">Employers are responsible for providing adequate information and </w:t>
      </w:r>
      <w:r w:rsidR="003D5825">
        <w:rPr>
          <w:rFonts w:cstheme="minorHAnsi"/>
          <w:sz w:val="24"/>
          <w:szCs w:val="24"/>
          <w:lang w:val="en-US"/>
        </w:rPr>
        <w:t>specific COVID-19</w:t>
      </w:r>
      <w:r w:rsidR="002F7CE9">
        <w:rPr>
          <w:rFonts w:cstheme="minorHAnsi"/>
          <w:sz w:val="24"/>
          <w:szCs w:val="24"/>
          <w:lang w:val="en-US"/>
        </w:rPr>
        <w:t xml:space="preserve"> </w:t>
      </w:r>
      <w:r w:rsidR="00431B67" w:rsidRPr="00DE2F09">
        <w:rPr>
          <w:rFonts w:cstheme="minorHAnsi"/>
          <w:sz w:val="24"/>
          <w:szCs w:val="24"/>
          <w:lang w:val="en-US"/>
        </w:rPr>
        <w:t>training</w:t>
      </w:r>
      <w:r w:rsidRPr="00DE2F09">
        <w:rPr>
          <w:rFonts w:cstheme="minorHAnsi"/>
          <w:sz w:val="24"/>
          <w:szCs w:val="24"/>
          <w:lang w:val="en-GB"/>
        </w:rPr>
        <w:t>.</w:t>
      </w:r>
      <w:r w:rsidRPr="00F82756">
        <w:rPr>
          <w:rFonts w:cstheme="minorHAnsi"/>
          <w:sz w:val="24"/>
          <w:szCs w:val="24"/>
          <w:lang w:val="en-GB"/>
        </w:rPr>
        <w:t xml:space="preserve"> Workers are responsible for following established procedures and participating in training organised by the employer.</w:t>
      </w:r>
    </w:p>
    <w:p w14:paraId="32EE54AB" w14:textId="3C1C1A5F" w:rsidR="003A7750" w:rsidRPr="00F82756" w:rsidRDefault="00B263F6" w:rsidP="00171B0D">
      <w:pPr>
        <w:rPr>
          <w:rFonts w:cstheme="minorHAnsi"/>
          <w:sz w:val="24"/>
          <w:szCs w:val="24"/>
          <w:lang w:val="en-GB"/>
        </w:rPr>
      </w:pPr>
      <w:r>
        <w:rPr>
          <w:rFonts w:cstheme="minorHAnsi"/>
          <w:sz w:val="24"/>
          <w:szCs w:val="24"/>
          <w:lang w:val="en-GB"/>
        </w:rPr>
        <w:t xml:space="preserve">Everyone accessing a company’s premises needs to be informed about </w:t>
      </w:r>
      <w:r w:rsidR="00E33974">
        <w:rPr>
          <w:rFonts w:cstheme="minorHAnsi"/>
          <w:sz w:val="24"/>
          <w:szCs w:val="24"/>
          <w:lang w:val="en-GB"/>
        </w:rPr>
        <w:t xml:space="preserve">all </w:t>
      </w:r>
      <w:r>
        <w:rPr>
          <w:rFonts w:cstheme="minorHAnsi"/>
          <w:sz w:val="24"/>
          <w:szCs w:val="24"/>
          <w:lang w:val="en-GB"/>
        </w:rPr>
        <w:t xml:space="preserve">the rules </w:t>
      </w:r>
      <w:r w:rsidR="00E33974">
        <w:rPr>
          <w:rFonts w:cstheme="minorHAnsi"/>
          <w:sz w:val="24"/>
          <w:szCs w:val="24"/>
          <w:lang w:val="en-GB"/>
        </w:rPr>
        <w:t>in place.</w:t>
      </w:r>
    </w:p>
    <w:p w14:paraId="2E995E1C" w14:textId="77777777" w:rsidR="00B263F6" w:rsidRPr="00F82756" w:rsidRDefault="00B263F6" w:rsidP="00171B0D">
      <w:pPr>
        <w:rPr>
          <w:rFonts w:cstheme="minorHAnsi"/>
          <w:b/>
          <w:bCs/>
          <w:sz w:val="24"/>
          <w:szCs w:val="24"/>
          <w:lang w:val="en-GB"/>
        </w:rPr>
      </w:pPr>
    </w:p>
    <w:p w14:paraId="1C8E082F" w14:textId="629B271C" w:rsidR="005F67CF" w:rsidRPr="00A83E87" w:rsidRDefault="00E33974" w:rsidP="005F67CF">
      <w:pPr>
        <w:autoSpaceDE w:val="0"/>
        <w:autoSpaceDN w:val="0"/>
        <w:adjustRightInd w:val="0"/>
        <w:rPr>
          <w:rFonts w:cstheme="minorHAnsi"/>
          <w:sz w:val="24"/>
          <w:szCs w:val="24"/>
        </w:rPr>
      </w:pPr>
      <w:r>
        <w:rPr>
          <w:rFonts w:cstheme="minorHAnsi"/>
          <w:b/>
          <w:bCs/>
          <w:sz w:val="24"/>
          <w:szCs w:val="24"/>
          <w:lang w:val="en-GB"/>
        </w:rPr>
        <w:t>Plans should</w:t>
      </w:r>
      <w:r w:rsidR="00B263F6">
        <w:rPr>
          <w:rFonts w:cstheme="minorHAnsi"/>
          <w:b/>
          <w:bCs/>
          <w:sz w:val="24"/>
          <w:szCs w:val="24"/>
          <w:lang w:val="en-GB"/>
        </w:rPr>
        <w:t xml:space="preserve"> cover</w:t>
      </w:r>
      <w:r>
        <w:rPr>
          <w:rFonts w:cstheme="minorHAnsi"/>
          <w:b/>
          <w:bCs/>
          <w:sz w:val="24"/>
          <w:szCs w:val="24"/>
          <w:lang w:val="en-GB"/>
        </w:rPr>
        <w:t xml:space="preserve">: </w:t>
      </w:r>
    </w:p>
    <w:p w14:paraId="1F926C53" w14:textId="1BE6B191" w:rsidR="005F67CF" w:rsidRDefault="005F67CF"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sidRPr="00F82756">
        <w:rPr>
          <w:rFonts w:asciiTheme="minorHAnsi" w:eastAsiaTheme="minorEastAsia" w:hAnsiTheme="minorHAnsi" w:cstheme="minorHAnsi"/>
          <w:lang w:val="en-GB"/>
        </w:rPr>
        <w:t>Hygiene measures</w:t>
      </w:r>
    </w:p>
    <w:p w14:paraId="7C36BF6B" w14:textId="42E69E5E" w:rsidR="00E33974" w:rsidRDefault="00E33974"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 xml:space="preserve">Personal Protective </w:t>
      </w:r>
      <w:r w:rsidRPr="00DE2F09">
        <w:rPr>
          <w:rFonts w:asciiTheme="minorHAnsi" w:eastAsiaTheme="minorEastAsia" w:hAnsiTheme="minorHAnsi" w:cstheme="minorHAnsi"/>
          <w:lang w:val="en-GB"/>
        </w:rPr>
        <w:t>Equipment</w:t>
      </w:r>
      <w:r w:rsidR="00573275" w:rsidRPr="00DE2F09">
        <w:rPr>
          <w:rFonts w:asciiTheme="minorHAnsi" w:eastAsiaTheme="minorEastAsia" w:hAnsiTheme="minorHAnsi" w:cstheme="minorHAnsi"/>
          <w:lang w:val="en-GB"/>
        </w:rPr>
        <w:t xml:space="preserve"> for workplaces </w:t>
      </w:r>
      <w:r w:rsidR="00A02DF3" w:rsidRPr="00DE2F09">
        <w:rPr>
          <w:rFonts w:asciiTheme="minorHAnsi" w:eastAsiaTheme="minorEastAsia" w:hAnsiTheme="minorHAnsi" w:cstheme="minorHAnsi"/>
          <w:lang w:val="en-GB"/>
        </w:rPr>
        <w:t xml:space="preserve">with </w:t>
      </w:r>
      <w:r w:rsidR="00573275" w:rsidRPr="00DE2F09">
        <w:rPr>
          <w:rFonts w:asciiTheme="minorHAnsi" w:eastAsiaTheme="minorEastAsia" w:hAnsiTheme="minorHAnsi" w:cstheme="minorHAnsi"/>
          <w:lang w:val="en-GB"/>
        </w:rPr>
        <w:t>a job-related risk of COVID-19</w:t>
      </w:r>
    </w:p>
    <w:p w14:paraId="6A1881B2" w14:textId="532AE09D" w:rsidR="00E33974" w:rsidRDefault="00E33974"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Social Distancing</w:t>
      </w:r>
    </w:p>
    <w:p w14:paraId="2EF7CE4A" w14:textId="57F61590" w:rsidR="00E33974" w:rsidRDefault="00E33974"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Remote working</w:t>
      </w:r>
    </w:p>
    <w:p w14:paraId="16A61E71" w14:textId="19CC394C" w:rsidR="00E33974" w:rsidRDefault="00E33974"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Reorganisation of working hours / shift systems</w:t>
      </w:r>
    </w:p>
    <w:p w14:paraId="4ABECCC2" w14:textId="73C3A005" w:rsidR="00A738D6" w:rsidRDefault="00A738D6"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Limiting the number of persons in changing rooms, canteens, etc.</w:t>
      </w:r>
    </w:p>
    <w:p w14:paraId="32DED05C" w14:textId="24140DE0" w:rsidR="00A738D6" w:rsidRPr="00F82756" w:rsidRDefault="00A738D6" w:rsidP="00F82756">
      <w:pPr>
        <w:pStyle w:val="ListParagraph"/>
        <w:numPr>
          <w:ilvl w:val="0"/>
          <w:numId w:val="7"/>
        </w:numPr>
        <w:autoSpaceDE w:val="0"/>
        <w:autoSpaceDN w:val="0"/>
        <w:adjustRightInd w:val="0"/>
        <w:rPr>
          <w:rFonts w:eastAsiaTheme="minorEastAsia" w:cstheme="minorHAnsi"/>
          <w:lang w:val="en-GB"/>
        </w:rPr>
      </w:pPr>
      <w:r>
        <w:rPr>
          <w:rFonts w:asciiTheme="minorHAnsi" w:eastAsiaTheme="minorEastAsia" w:hAnsiTheme="minorHAnsi" w:cstheme="minorHAnsi"/>
          <w:lang w:val="en-GB"/>
        </w:rPr>
        <w:t>Reorganisation of entry and exit points</w:t>
      </w:r>
    </w:p>
    <w:p w14:paraId="01579CEF" w14:textId="77777777" w:rsidR="00171B0D" w:rsidRPr="00992DD9" w:rsidRDefault="00171B0D" w:rsidP="002D5A73">
      <w:pPr>
        <w:autoSpaceDE w:val="0"/>
        <w:autoSpaceDN w:val="0"/>
        <w:adjustRightInd w:val="0"/>
        <w:spacing w:after="0" w:line="240" w:lineRule="auto"/>
        <w:rPr>
          <w:rFonts w:cstheme="minorHAnsi"/>
          <w:sz w:val="24"/>
          <w:szCs w:val="24"/>
          <w:lang w:val="en-US"/>
        </w:rPr>
      </w:pPr>
    </w:p>
    <w:p w14:paraId="5135EC82" w14:textId="77777777" w:rsidR="001D0C1F" w:rsidRDefault="001D0C1F" w:rsidP="00F725BD">
      <w:pPr>
        <w:autoSpaceDE w:val="0"/>
        <w:autoSpaceDN w:val="0"/>
        <w:adjustRightInd w:val="0"/>
        <w:spacing w:after="0" w:line="240" w:lineRule="auto"/>
        <w:rPr>
          <w:rFonts w:cstheme="minorHAnsi"/>
          <w:b/>
          <w:bCs/>
          <w:sz w:val="24"/>
          <w:szCs w:val="24"/>
          <w:lang w:val="en-GB"/>
        </w:rPr>
      </w:pPr>
    </w:p>
    <w:p w14:paraId="502A2B5C" w14:textId="354C751F" w:rsidR="00B01CCD" w:rsidRPr="00F82756" w:rsidRDefault="00531BC8" w:rsidP="00F725BD">
      <w:pPr>
        <w:autoSpaceDE w:val="0"/>
        <w:autoSpaceDN w:val="0"/>
        <w:adjustRightInd w:val="0"/>
        <w:spacing w:after="0" w:line="240" w:lineRule="auto"/>
        <w:rPr>
          <w:rFonts w:cstheme="minorHAnsi"/>
          <w:b/>
          <w:bCs/>
          <w:sz w:val="24"/>
          <w:szCs w:val="24"/>
          <w:lang w:val="en-GB"/>
        </w:rPr>
      </w:pPr>
      <w:r>
        <w:rPr>
          <w:rFonts w:cstheme="minorHAnsi"/>
          <w:b/>
          <w:bCs/>
          <w:sz w:val="24"/>
          <w:szCs w:val="24"/>
          <w:lang w:val="en-GB"/>
        </w:rPr>
        <w:t>Other considerations</w:t>
      </w:r>
    </w:p>
    <w:p w14:paraId="135D2D26" w14:textId="77777777" w:rsidR="00B01CCD" w:rsidRPr="00992DD9" w:rsidRDefault="00B01CCD" w:rsidP="00F725BD">
      <w:pPr>
        <w:autoSpaceDE w:val="0"/>
        <w:autoSpaceDN w:val="0"/>
        <w:adjustRightInd w:val="0"/>
        <w:spacing w:after="0" w:line="240" w:lineRule="auto"/>
        <w:rPr>
          <w:rFonts w:cstheme="minorHAnsi"/>
          <w:sz w:val="24"/>
          <w:szCs w:val="24"/>
          <w:lang w:val="en-US"/>
        </w:rPr>
      </w:pPr>
    </w:p>
    <w:p w14:paraId="4D53FFDF" w14:textId="3CA82397" w:rsidR="00B01CCD" w:rsidRPr="00830158" w:rsidRDefault="00531BC8">
      <w:pPr>
        <w:rPr>
          <w:rFonts w:cstheme="minorHAnsi"/>
          <w:sz w:val="24"/>
          <w:szCs w:val="24"/>
          <w:lang w:val="en-US"/>
        </w:rPr>
      </w:pPr>
      <w:r w:rsidRPr="00F82756">
        <w:rPr>
          <w:rFonts w:cstheme="minorHAnsi"/>
          <w:sz w:val="24"/>
          <w:szCs w:val="24"/>
          <w:lang w:val="en-GB"/>
        </w:rPr>
        <w:t xml:space="preserve">Beyond immediately visible risks and their mitigation, ECEG and </w:t>
      </w:r>
      <w:proofErr w:type="spellStart"/>
      <w:r w:rsidRPr="00F82756">
        <w:rPr>
          <w:rFonts w:cstheme="minorHAnsi"/>
          <w:sz w:val="24"/>
          <w:szCs w:val="24"/>
          <w:lang w:val="en-GB"/>
        </w:rPr>
        <w:t>industriAll</w:t>
      </w:r>
      <w:proofErr w:type="spellEnd"/>
      <w:r w:rsidRPr="00F82756">
        <w:rPr>
          <w:rFonts w:cstheme="minorHAnsi"/>
          <w:sz w:val="24"/>
          <w:szCs w:val="24"/>
          <w:lang w:val="en-GB"/>
        </w:rPr>
        <w:t xml:space="preserve"> Europe encourage their members to jointly examine: </w:t>
      </w:r>
      <w:r w:rsidR="00A02DF3" w:rsidRPr="00DE2F09">
        <w:rPr>
          <w:rFonts w:cstheme="minorHAnsi"/>
          <w:sz w:val="24"/>
          <w:szCs w:val="24"/>
          <w:lang w:val="en-GB"/>
        </w:rPr>
        <w:t>possible</w:t>
      </w:r>
      <w:r w:rsidR="00A02DF3">
        <w:rPr>
          <w:rFonts w:cstheme="minorHAnsi"/>
          <w:sz w:val="24"/>
          <w:szCs w:val="24"/>
          <w:lang w:val="en-GB"/>
        </w:rPr>
        <w:t xml:space="preserve"> </w:t>
      </w:r>
      <w:r w:rsidR="00B01CCD" w:rsidRPr="00F82756">
        <w:rPr>
          <w:rFonts w:cstheme="minorHAnsi"/>
          <w:sz w:val="24"/>
          <w:szCs w:val="24"/>
          <w:lang w:val="en-GB"/>
        </w:rPr>
        <w:t>chemical hazards resulting from increased use of cleaning and disinfectant agents, ergonomic risks from awkward postures due to inadequate facilities and equipment</w:t>
      </w:r>
      <w:r w:rsidR="00AD4B4D">
        <w:rPr>
          <w:rFonts w:cstheme="minorHAnsi"/>
          <w:sz w:val="24"/>
          <w:szCs w:val="24"/>
          <w:lang w:val="en-GB"/>
        </w:rPr>
        <w:t xml:space="preserve"> (due to forced telework)</w:t>
      </w:r>
      <w:r w:rsidR="00B01CCD" w:rsidRPr="00F82756">
        <w:rPr>
          <w:rFonts w:cstheme="minorHAnsi"/>
          <w:sz w:val="24"/>
          <w:szCs w:val="24"/>
          <w:lang w:val="en-GB"/>
        </w:rPr>
        <w:t xml:space="preserve">, </w:t>
      </w:r>
      <w:r w:rsidR="00AD4B4D" w:rsidRPr="00F82756">
        <w:rPr>
          <w:rFonts w:cstheme="minorHAnsi"/>
          <w:sz w:val="24"/>
          <w:szCs w:val="24"/>
          <w:lang w:val="en-GB"/>
        </w:rPr>
        <w:t>psychosocial risks</w:t>
      </w:r>
      <w:r w:rsidR="009F0109" w:rsidRPr="00DE2F09">
        <w:rPr>
          <w:rStyle w:val="EndnoteReference"/>
          <w:rFonts w:cstheme="minorHAnsi"/>
          <w:sz w:val="24"/>
          <w:szCs w:val="24"/>
          <w:lang w:val="en-GB"/>
        </w:rPr>
        <w:endnoteReference w:id="2"/>
      </w:r>
      <w:r w:rsidR="00AD4B4D" w:rsidRPr="00DE2F09">
        <w:rPr>
          <w:rFonts w:cstheme="minorHAnsi"/>
          <w:sz w:val="24"/>
          <w:szCs w:val="24"/>
          <w:lang w:val="en-GB"/>
        </w:rPr>
        <w:t>,</w:t>
      </w:r>
      <w:r w:rsidR="00AD4B4D" w:rsidRPr="00F82756">
        <w:rPr>
          <w:rFonts w:cstheme="minorHAnsi"/>
          <w:sz w:val="24"/>
          <w:szCs w:val="24"/>
          <w:lang w:val="en-GB"/>
        </w:rPr>
        <w:t xml:space="preserve"> </w:t>
      </w:r>
      <w:r w:rsidRPr="00F82756">
        <w:rPr>
          <w:rFonts w:cstheme="minorHAnsi"/>
          <w:sz w:val="24"/>
          <w:szCs w:val="24"/>
          <w:lang w:val="en-GB"/>
        </w:rPr>
        <w:t>etc</w:t>
      </w:r>
      <w:r w:rsidR="00A02DF3">
        <w:rPr>
          <w:rFonts w:cstheme="minorHAnsi"/>
          <w:sz w:val="24"/>
          <w:szCs w:val="24"/>
          <w:lang w:val="en-GB"/>
        </w:rPr>
        <w:t>.</w:t>
      </w:r>
      <w:r w:rsidR="00A423BC" w:rsidRPr="00830158">
        <w:rPr>
          <w:rFonts w:cstheme="minorHAnsi"/>
          <w:sz w:val="24"/>
          <w:szCs w:val="24"/>
          <w:lang w:val="en-GB"/>
        </w:rPr>
        <w:t xml:space="preserve"> </w:t>
      </w:r>
    </w:p>
    <w:p w14:paraId="712FF691" w14:textId="77777777" w:rsidR="00C511DF" w:rsidRDefault="00C511DF">
      <w:pPr>
        <w:rPr>
          <w:rFonts w:cstheme="minorHAnsi"/>
          <w:sz w:val="24"/>
          <w:szCs w:val="24"/>
          <w:lang w:val="en-GB"/>
        </w:rPr>
      </w:pPr>
    </w:p>
    <w:p w14:paraId="6BDA0DA8" w14:textId="77777777" w:rsidR="00C511DF" w:rsidRDefault="00C511DF">
      <w:pPr>
        <w:rPr>
          <w:rFonts w:cstheme="minorHAnsi"/>
          <w:sz w:val="24"/>
          <w:szCs w:val="24"/>
          <w:lang w:val="en-GB"/>
        </w:rPr>
      </w:pPr>
    </w:p>
    <w:p w14:paraId="30BAB256" w14:textId="5812FF54" w:rsidR="00531BC8" w:rsidRDefault="00531BC8">
      <w:pPr>
        <w:rPr>
          <w:rFonts w:cstheme="minorHAnsi"/>
          <w:sz w:val="24"/>
          <w:szCs w:val="24"/>
          <w:lang w:val="en-GB"/>
        </w:rPr>
      </w:pPr>
      <w:r>
        <w:rPr>
          <w:rFonts w:cstheme="minorHAnsi"/>
          <w:sz w:val="24"/>
          <w:szCs w:val="24"/>
          <w:lang w:val="en-GB"/>
        </w:rPr>
        <w:t xml:space="preserve">The needs of workers with higher health risks </w:t>
      </w:r>
      <w:r w:rsidR="00CB5C7F">
        <w:rPr>
          <w:rFonts w:cstheme="minorHAnsi"/>
          <w:sz w:val="24"/>
          <w:szCs w:val="24"/>
          <w:lang w:val="en-GB"/>
        </w:rPr>
        <w:t xml:space="preserve">and/or special needs </w:t>
      </w:r>
      <w:r>
        <w:rPr>
          <w:rFonts w:cstheme="minorHAnsi"/>
          <w:sz w:val="24"/>
          <w:szCs w:val="24"/>
          <w:lang w:val="en-GB"/>
        </w:rPr>
        <w:t xml:space="preserve">should be considered. Risks assessment and measures should be </w:t>
      </w:r>
      <w:proofErr w:type="gramStart"/>
      <w:r>
        <w:rPr>
          <w:rFonts w:cstheme="minorHAnsi"/>
          <w:sz w:val="24"/>
          <w:szCs w:val="24"/>
          <w:lang w:val="en-GB"/>
        </w:rPr>
        <w:t>gender-sensitive</w:t>
      </w:r>
      <w:proofErr w:type="gramEnd"/>
      <w:r>
        <w:rPr>
          <w:rFonts w:cstheme="minorHAnsi"/>
          <w:sz w:val="24"/>
          <w:szCs w:val="24"/>
          <w:lang w:val="en-GB"/>
        </w:rPr>
        <w:t>.</w:t>
      </w:r>
    </w:p>
    <w:p w14:paraId="5F2B02FC" w14:textId="20BD2A9C" w:rsidR="00494840" w:rsidRPr="00992DD9" w:rsidRDefault="00F415F1" w:rsidP="003A7750">
      <w:pPr>
        <w:rPr>
          <w:rFonts w:cstheme="minorHAnsi"/>
          <w:b/>
          <w:bCs/>
          <w:sz w:val="24"/>
          <w:szCs w:val="24"/>
          <w:lang w:val="en-US"/>
        </w:rPr>
      </w:pPr>
      <w:r w:rsidRPr="005B6987">
        <w:rPr>
          <w:rFonts w:cstheme="minorHAnsi"/>
          <w:sz w:val="24"/>
          <w:szCs w:val="24"/>
          <w:lang w:val="en-US"/>
        </w:rPr>
        <w:t xml:space="preserve">No person officially recognized as being at risk during a health crisis should be dismissed because of </w:t>
      </w:r>
      <w:r w:rsidR="00A02DF3" w:rsidRPr="005B6987">
        <w:rPr>
          <w:rFonts w:cstheme="minorHAnsi"/>
          <w:sz w:val="24"/>
          <w:szCs w:val="24"/>
          <w:lang w:val="en-US"/>
        </w:rPr>
        <w:t xml:space="preserve">his/her </w:t>
      </w:r>
      <w:r w:rsidRPr="005B6987">
        <w:rPr>
          <w:rFonts w:cstheme="minorHAnsi"/>
          <w:sz w:val="24"/>
          <w:szCs w:val="24"/>
          <w:lang w:val="en-US"/>
        </w:rPr>
        <w:t xml:space="preserve">belonging to a risk group. The European Social Partners recommend </w:t>
      </w:r>
      <w:proofErr w:type="gramStart"/>
      <w:r w:rsidRPr="005B6987">
        <w:rPr>
          <w:rFonts w:cstheme="minorHAnsi"/>
          <w:sz w:val="24"/>
          <w:szCs w:val="24"/>
          <w:lang w:val="en-US"/>
        </w:rPr>
        <w:t>to discuss</w:t>
      </w:r>
      <w:proofErr w:type="gramEnd"/>
      <w:r w:rsidRPr="005B6987">
        <w:rPr>
          <w:rFonts w:cstheme="minorHAnsi"/>
          <w:sz w:val="24"/>
          <w:szCs w:val="24"/>
          <w:lang w:val="en-US"/>
        </w:rPr>
        <w:t xml:space="preserve"> appropriate measures for these people on company level taking into account the individual situation and workplace.</w:t>
      </w:r>
    </w:p>
    <w:p w14:paraId="3F5BACC7" w14:textId="77777777" w:rsidR="00A02DF3" w:rsidRDefault="00A02DF3" w:rsidP="003A7750">
      <w:pPr>
        <w:rPr>
          <w:rFonts w:cstheme="minorHAnsi"/>
          <w:b/>
          <w:bCs/>
          <w:sz w:val="24"/>
          <w:szCs w:val="24"/>
          <w:lang w:val="en-US"/>
        </w:rPr>
      </w:pPr>
    </w:p>
    <w:p w14:paraId="2D1E9B9A" w14:textId="14453DAC" w:rsidR="003A7750" w:rsidRPr="00992DD9" w:rsidRDefault="003A7750" w:rsidP="003A7750">
      <w:pPr>
        <w:rPr>
          <w:rFonts w:cstheme="minorHAnsi"/>
          <w:b/>
          <w:bCs/>
          <w:sz w:val="24"/>
          <w:szCs w:val="24"/>
          <w:lang w:val="en-US"/>
        </w:rPr>
      </w:pPr>
      <w:r w:rsidRPr="00992DD9">
        <w:rPr>
          <w:rFonts w:cstheme="minorHAnsi"/>
          <w:b/>
          <w:bCs/>
          <w:sz w:val="24"/>
          <w:szCs w:val="24"/>
          <w:lang w:val="en-US"/>
        </w:rPr>
        <w:t xml:space="preserve">Dissemination </w:t>
      </w:r>
    </w:p>
    <w:p w14:paraId="6F1ACB47" w14:textId="37871035" w:rsidR="003A7750" w:rsidRPr="00992DD9" w:rsidRDefault="00531BC8" w:rsidP="003A7750">
      <w:pPr>
        <w:rPr>
          <w:rFonts w:cstheme="minorHAnsi"/>
          <w:sz w:val="24"/>
          <w:szCs w:val="24"/>
          <w:lang w:val="en-US"/>
        </w:rPr>
      </w:pPr>
      <w:proofErr w:type="spellStart"/>
      <w:r w:rsidRPr="00F82756">
        <w:rPr>
          <w:rFonts w:cstheme="minorHAnsi"/>
          <w:sz w:val="24"/>
          <w:szCs w:val="24"/>
          <w:lang w:val="en-GB"/>
        </w:rPr>
        <w:t>industriAll</w:t>
      </w:r>
      <w:proofErr w:type="spellEnd"/>
      <w:r w:rsidRPr="00F82756">
        <w:rPr>
          <w:rFonts w:cstheme="minorHAnsi"/>
          <w:sz w:val="24"/>
          <w:szCs w:val="24"/>
          <w:lang w:val="en-GB"/>
        </w:rPr>
        <w:t xml:space="preserve"> Europe and ECEG</w:t>
      </w:r>
      <w:r w:rsidR="003A7750" w:rsidRPr="00992DD9">
        <w:rPr>
          <w:rFonts w:cstheme="minorHAnsi"/>
          <w:sz w:val="24"/>
          <w:szCs w:val="24"/>
          <w:lang w:val="en-US"/>
        </w:rPr>
        <w:t xml:space="preserve"> will disseminate and promote these </w:t>
      </w:r>
      <w:r w:rsidRPr="00F82756">
        <w:rPr>
          <w:rFonts w:cstheme="minorHAnsi"/>
          <w:sz w:val="24"/>
          <w:szCs w:val="24"/>
          <w:lang w:val="en-GB"/>
        </w:rPr>
        <w:t>recommendations</w:t>
      </w:r>
      <w:r w:rsidR="003A7750" w:rsidRPr="00992DD9">
        <w:rPr>
          <w:rFonts w:cstheme="minorHAnsi"/>
          <w:sz w:val="24"/>
          <w:szCs w:val="24"/>
          <w:lang w:val="en-US"/>
        </w:rPr>
        <w:t xml:space="preserve"> among their respective members, </w:t>
      </w:r>
      <w:proofErr w:type="gramStart"/>
      <w:r w:rsidR="003A7750" w:rsidRPr="00992DD9">
        <w:rPr>
          <w:rFonts w:cstheme="minorHAnsi"/>
          <w:sz w:val="24"/>
          <w:szCs w:val="24"/>
          <w:lang w:val="en-US"/>
        </w:rPr>
        <w:t>taking into account</w:t>
      </w:r>
      <w:proofErr w:type="gramEnd"/>
      <w:r w:rsidR="003A7750" w:rsidRPr="00992DD9">
        <w:rPr>
          <w:rFonts w:cstheme="minorHAnsi"/>
          <w:sz w:val="24"/>
          <w:szCs w:val="24"/>
          <w:lang w:val="en-US"/>
        </w:rPr>
        <w:t xml:space="preserve"> national practices. </w:t>
      </w:r>
    </w:p>
    <w:p w14:paraId="19156646" w14:textId="610CC64F" w:rsidR="002D5A73" w:rsidRDefault="00C31E58" w:rsidP="002D5A73">
      <w:pPr>
        <w:rPr>
          <w:rFonts w:cstheme="minorHAnsi"/>
          <w:sz w:val="24"/>
          <w:szCs w:val="24"/>
          <w:lang w:val="en-US"/>
        </w:rPr>
      </w:pPr>
      <w:r w:rsidRPr="00992DD9">
        <w:rPr>
          <w:rFonts w:cstheme="minorHAnsi"/>
          <w:sz w:val="24"/>
          <w:szCs w:val="24"/>
          <w:lang w:val="en-US"/>
        </w:rPr>
        <w:t xml:space="preserve">Social partners at all levels have an important role to play to reduce the </w:t>
      </w:r>
      <w:r w:rsidR="005E6234" w:rsidRPr="00992DD9">
        <w:rPr>
          <w:rFonts w:cstheme="minorHAnsi"/>
          <w:sz w:val="24"/>
          <w:szCs w:val="24"/>
          <w:lang w:val="en-US"/>
        </w:rPr>
        <w:t xml:space="preserve">risk </w:t>
      </w:r>
      <w:r w:rsidRPr="00992DD9">
        <w:rPr>
          <w:rFonts w:cstheme="minorHAnsi"/>
          <w:sz w:val="24"/>
          <w:szCs w:val="24"/>
          <w:lang w:val="en-US"/>
        </w:rPr>
        <w:t xml:space="preserve">of contamination at </w:t>
      </w:r>
      <w:r w:rsidR="005E6234" w:rsidRPr="00992DD9">
        <w:rPr>
          <w:rFonts w:cstheme="minorHAnsi"/>
          <w:sz w:val="24"/>
          <w:szCs w:val="24"/>
          <w:lang w:val="en-US"/>
        </w:rPr>
        <w:t>work.</w:t>
      </w:r>
    </w:p>
    <w:p w14:paraId="4220B338" w14:textId="4EB09C55" w:rsidR="006F17B8" w:rsidRDefault="006F17B8" w:rsidP="002D5A73">
      <w:pPr>
        <w:rPr>
          <w:rFonts w:cstheme="minorHAnsi"/>
          <w:sz w:val="24"/>
          <w:szCs w:val="24"/>
          <w:lang w:val="en-US"/>
        </w:rPr>
      </w:pPr>
    </w:p>
    <w:p w14:paraId="686A5513" w14:textId="77777777" w:rsidR="006F17B8" w:rsidRPr="00992DD9" w:rsidRDefault="006F17B8" w:rsidP="002D5A73">
      <w:pPr>
        <w:rPr>
          <w:rFonts w:cstheme="minorHAnsi"/>
          <w:sz w:val="24"/>
          <w:szCs w:val="24"/>
          <w:lang w:val="en-US"/>
        </w:rPr>
      </w:pPr>
    </w:p>
    <w:p w14:paraId="2A457A40" w14:textId="7DF913DA" w:rsidR="00531BC8" w:rsidRDefault="00531BC8" w:rsidP="002D5A73">
      <w:pPr>
        <w:rPr>
          <w:rFonts w:cstheme="minorHAnsi"/>
          <w:sz w:val="24"/>
          <w:szCs w:val="24"/>
          <w:lang w:val="en-US"/>
        </w:rPr>
      </w:pPr>
    </w:p>
    <w:p w14:paraId="01ABD129" w14:textId="5EC5414A" w:rsidR="006F17B8" w:rsidRDefault="006F17B8" w:rsidP="002D5A73">
      <w:pPr>
        <w:rPr>
          <w:rFonts w:cstheme="minorHAnsi"/>
          <w:sz w:val="24"/>
          <w:szCs w:val="24"/>
          <w:lang w:val="en-US"/>
        </w:rPr>
      </w:pPr>
      <w:r>
        <w:rPr>
          <w:rFonts w:cstheme="minorHAnsi"/>
          <w:bCs/>
          <w:noProof/>
          <w:lang w:val="en-GB"/>
        </w:rPr>
        <w:drawing>
          <wp:inline distT="0" distB="0" distL="0" distR="0" wp14:anchorId="1ECEEC0F" wp14:editId="0342BA05">
            <wp:extent cx="1079770" cy="747533"/>
            <wp:effectExtent l="0" t="0" r="0" b="1905"/>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771" cy="762072"/>
                    </a:xfrm>
                    <a:prstGeom prst="rect">
                      <a:avLst/>
                    </a:prstGeom>
                  </pic:spPr>
                </pic:pic>
              </a:graphicData>
            </a:graphic>
          </wp:inline>
        </w:drawing>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bCs/>
          <w:noProof/>
          <w:lang w:val="en-GB"/>
        </w:rPr>
        <w:drawing>
          <wp:inline distT="0" distB="0" distL="0" distR="0" wp14:anchorId="5066A386" wp14:editId="0C9C3E40">
            <wp:extent cx="13335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333500" cy="546100"/>
                    </a:xfrm>
                    <a:prstGeom prst="rect">
                      <a:avLst/>
                    </a:prstGeom>
                  </pic:spPr>
                </pic:pic>
              </a:graphicData>
            </a:graphic>
          </wp:inline>
        </w:drawing>
      </w:r>
    </w:p>
    <w:p w14:paraId="5D4C16D9" w14:textId="77777777" w:rsidR="006F17B8" w:rsidRPr="00E03983" w:rsidRDefault="006F17B8" w:rsidP="006F17B8">
      <w:pPr>
        <w:spacing w:after="0"/>
        <w:rPr>
          <w:rFonts w:cstheme="minorHAnsi"/>
          <w:bCs/>
          <w:lang w:val="en-US"/>
        </w:rPr>
      </w:pPr>
      <w:r w:rsidRPr="0076416C">
        <w:rPr>
          <w:rFonts w:cstheme="minorHAnsi"/>
          <w:bCs/>
          <w:lang w:val="en-GB"/>
        </w:rPr>
        <w:t>Luc Triangle</w:t>
      </w:r>
      <w:r w:rsidRPr="0076416C">
        <w:rPr>
          <w:rFonts w:cstheme="minorHAnsi"/>
          <w:bCs/>
          <w:lang w:val="en-GB"/>
        </w:rPr>
        <w:tab/>
      </w:r>
      <w:r w:rsidRPr="0076416C">
        <w:rPr>
          <w:rFonts w:cstheme="minorHAnsi"/>
          <w:bCs/>
          <w:lang w:val="en-GB"/>
        </w:rPr>
        <w:tab/>
      </w:r>
      <w:r w:rsidRPr="0076416C">
        <w:rPr>
          <w:rFonts w:cstheme="minorHAnsi"/>
          <w:bCs/>
          <w:lang w:val="en-GB"/>
        </w:rPr>
        <w:tab/>
      </w:r>
      <w:r w:rsidRPr="0076416C">
        <w:rPr>
          <w:rFonts w:cstheme="minorHAnsi"/>
          <w:bCs/>
          <w:lang w:val="en-GB"/>
        </w:rPr>
        <w:tab/>
      </w:r>
      <w:r w:rsidRPr="0076416C">
        <w:rPr>
          <w:rFonts w:cstheme="minorHAnsi"/>
          <w:bCs/>
          <w:lang w:val="en-GB"/>
        </w:rPr>
        <w:tab/>
      </w:r>
      <w:r w:rsidRPr="0076416C">
        <w:rPr>
          <w:rFonts w:cstheme="minorHAnsi"/>
          <w:bCs/>
          <w:lang w:val="en-GB"/>
        </w:rPr>
        <w:tab/>
      </w:r>
      <w:r>
        <w:rPr>
          <w:rFonts w:cstheme="minorHAnsi"/>
          <w:bCs/>
          <w:lang w:val="en-GB"/>
        </w:rPr>
        <w:tab/>
      </w:r>
      <w:r w:rsidRPr="00E03983">
        <w:rPr>
          <w:rFonts w:cstheme="minorHAnsi"/>
          <w:bCs/>
          <w:lang w:val="en-US"/>
        </w:rPr>
        <w:t>Emma Argutyan</w:t>
      </w:r>
    </w:p>
    <w:p w14:paraId="4B15728D" w14:textId="77777777" w:rsidR="006F17B8" w:rsidRPr="00E03983" w:rsidRDefault="006F17B8" w:rsidP="006F17B8">
      <w:pPr>
        <w:spacing w:after="0"/>
        <w:rPr>
          <w:rFonts w:cstheme="minorHAnsi"/>
          <w:bCs/>
          <w:lang w:val="en-US"/>
        </w:rPr>
      </w:pPr>
      <w:r w:rsidRPr="00E03983">
        <w:rPr>
          <w:rFonts w:cstheme="minorHAnsi"/>
          <w:bCs/>
          <w:lang w:val="en-US"/>
        </w:rPr>
        <w:t xml:space="preserve">General Secretary of </w:t>
      </w:r>
      <w:proofErr w:type="spellStart"/>
      <w:r w:rsidRPr="00E03983">
        <w:rPr>
          <w:rFonts w:cstheme="minorHAnsi"/>
          <w:bCs/>
          <w:lang w:val="en-US"/>
        </w:rPr>
        <w:t>industriAll</w:t>
      </w:r>
      <w:proofErr w:type="spellEnd"/>
      <w:r w:rsidRPr="00E03983">
        <w:rPr>
          <w:rFonts w:cstheme="minorHAnsi"/>
          <w:bCs/>
          <w:lang w:val="en-US"/>
        </w:rPr>
        <w:t xml:space="preserve"> European</w:t>
      </w:r>
      <w:r w:rsidRPr="00E03983">
        <w:rPr>
          <w:rFonts w:cstheme="minorHAnsi"/>
          <w:bCs/>
          <w:lang w:val="en-US"/>
        </w:rPr>
        <w:tab/>
      </w:r>
      <w:r w:rsidRPr="00E03983">
        <w:rPr>
          <w:rFonts w:cstheme="minorHAnsi"/>
          <w:bCs/>
          <w:lang w:val="en-US"/>
        </w:rPr>
        <w:tab/>
      </w:r>
      <w:r w:rsidRPr="00E03983">
        <w:rPr>
          <w:rFonts w:cstheme="minorHAnsi"/>
          <w:bCs/>
          <w:lang w:val="en-US"/>
        </w:rPr>
        <w:tab/>
        <w:t xml:space="preserve">Director General of the European </w:t>
      </w:r>
    </w:p>
    <w:p w14:paraId="10D85E65" w14:textId="77777777" w:rsidR="006F17B8" w:rsidRDefault="006F17B8" w:rsidP="006F17B8">
      <w:pPr>
        <w:rPr>
          <w:rFonts w:cstheme="minorHAnsi"/>
          <w:bCs/>
          <w:lang w:val="en-US"/>
        </w:rPr>
      </w:pPr>
      <w:r w:rsidRPr="00E03983">
        <w:rPr>
          <w:rFonts w:cstheme="minorHAnsi"/>
          <w:bCs/>
          <w:lang w:val="en-US"/>
        </w:rPr>
        <w:t>Trade Union</w:t>
      </w:r>
      <w:r w:rsidRPr="00E03983">
        <w:rPr>
          <w:rFonts w:cstheme="minorHAnsi"/>
          <w:bCs/>
          <w:lang w:val="en-US"/>
        </w:rPr>
        <w:tab/>
      </w:r>
      <w:r w:rsidRPr="00E03983">
        <w:rPr>
          <w:rFonts w:cstheme="minorHAnsi"/>
          <w:bCs/>
          <w:lang w:val="en-US"/>
        </w:rPr>
        <w:tab/>
      </w:r>
      <w:r w:rsidRPr="00E03983">
        <w:rPr>
          <w:rFonts w:cstheme="minorHAnsi"/>
          <w:bCs/>
          <w:lang w:val="en-US"/>
        </w:rPr>
        <w:tab/>
      </w:r>
      <w:r w:rsidRPr="00E03983">
        <w:rPr>
          <w:rFonts w:cstheme="minorHAnsi"/>
          <w:bCs/>
          <w:lang w:val="en-US"/>
        </w:rPr>
        <w:tab/>
      </w:r>
      <w:r w:rsidRPr="00E03983">
        <w:rPr>
          <w:rFonts w:cstheme="minorHAnsi"/>
          <w:bCs/>
          <w:lang w:val="en-US"/>
        </w:rPr>
        <w:tab/>
      </w:r>
      <w:r w:rsidRPr="00E03983">
        <w:rPr>
          <w:rFonts w:cstheme="minorHAnsi"/>
          <w:bCs/>
          <w:lang w:val="en-US"/>
        </w:rPr>
        <w:tab/>
      </w:r>
      <w:r w:rsidRPr="00E03983">
        <w:rPr>
          <w:rFonts w:cstheme="minorHAnsi"/>
          <w:bCs/>
          <w:lang w:val="en-US"/>
        </w:rPr>
        <w:tab/>
        <w:t>Chemical Employers Group (ECEG)</w:t>
      </w:r>
    </w:p>
    <w:p w14:paraId="57AA13FE" w14:textId="051AF281" w:rsidR="006F17B8" w:rsidRDefault="006F17B8" w:rsidP="006F17B8">
      <w:pPr>
        <w:rPr>
          <w:rFonts w:cstheme="minorHAnsi"/>
          <w:bCs/>
          <w:lang w:val="en-GB"/>
        </w:rPr>
      </w:pPr>
      <w:r>
        <w:rPr>
          <w:rFonts w:cstheme="minorHAnsi"/>
          <w:bCs/>
          <w:lang w:val="en-GB"/>
        </w:rPr>
        <w:tab/>
      </w:r>
      <w:r>
        <w:rPr>
          <w:rFonts w:cstheme="minorHAnsi"/>
          <w:bCs/>
          <w:lang w:val="en-GB"/>
        </w:rPr>
        <w:tab/>
      </w:r>
      <w:r>
        <w:rPr>
          <w:rFonts w:cstheme="minorHAnsi"/>
          <w:bCs/>
          <w:lang w:val="en-GB"/>
        </w:rPr>
        <w:tab/>
      </w:r>
      <w:r>
        <w:rPr>
          <w:rFonts w:cstheme="minorHAnsi"/>
          <w:bCs/>
          <w:lang w:val="en-GB"/>
        </w:rPr>
        <w:tab/>
      </w:r>
      <w:r>
        <w:rPr>
          <w:rFonts w:cstheme="minorHAnsi"/>
          <w:bCs/>
          <w:lang w:val="en-GB"/>
        </w:rPr>
        <w:tab/>
      </w:r>
      <w:r>
        <w:rPr>
          <w:rFonts w:cstheme="minorHAnsi"/>
          <w:bCs/>
          <w:lang w:val="en-GB"/>
        </w:rPr>
        <w:tab/>
      </w:r>
      <w:r>
        <w:rPr>
          <w:rFonts w:cstheme="minorHAnsi"/>
          <w:bCs/>
          <w:lang w:val="en-GB"/>
        </w:rPr>
        <w:tab/>
      </w:r>
    </w:p>
    <w:p w14:paraId="57A48340" w14:textId="77777777" w:rsidR="006F17B8" w:rsidRPr="00992DD9" w:rsidRDefault="006F17B8" w:rsidP="002D5A73">
      <w:pPr>
        <w:rPr>
          <w:rFonts w:cstheme="minorHAnsi"/>
          <w:sz w:val="24"/>
          <w:szCs w:val="24"/>
          <w:lang w:val="en-US"/>
        </w:rPr>
      </w:pPr>
    </w:p>
    <w:p w14:paraId="1A516762" w14:textId="77777777" w:rsidR="00905031" w:rsidRPr="0019333A" w:rsidRDefault="00905031" w:rsidP="002507AA">
      <w:pPr>
        <w:rPr>
          <w:rFonts w:cstheme="minorHAnsi"/>
          <w:sz w:val="24"/>
          <w:szCs w:val="24"/>
          <w:lang w:val="en-US"/>
        </w:rPr>
      </w:pPr>
    </w:p>
    <w:sectPr w:rsidR="00905031" w:rsidRPr="0019333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ACD2" w14:textId="77777777" w:rsidR="00A848DC" w:rsidRDefault="00A848DC" w:rsidP="005433E6">
      <w:pPr>
        <w:spacing w:after="0" w:line="240" w:lineRule="auto"/>
      </w:pPr>
      <w:r>
        <w:separator/>
      </w:r>
    </w:p>
  </w:endnote>
  <w:endnote w:type="continuationSeparator" w:id="0">
    <w:p w14:paraId="700E891B" w14:textId="77777777" w:rsidR="00A848DC" w:rsidRDefault="00A848DC" w:rsidP="005433E6">
      <w:pPr>
        <w:spacing w:after="0" w:line="240" w:lineRule="auto"/>
      </w:pPr>
      <w:r>
        <w:continuationSeparator/>
      </w:r>
    </w:p>
  </w:endnote>
  <w:endnote w:id="1">
    <w:p w14:paraId="7EAF738C" w14:textId="1564453B" w:rsidR="00AD4B4D" w:rsidRPr="00C511DF" w:rsidRDefault="00AD4B4D">
      <w:pPr>
        <w:pStyle w:val="EndnoteText"/>
        <w:rPr>
          <w:lang w:val="en-GB"/>
        </w:rPr>
      </w:pPr>
      <w:r>
        <w:rPr>
          <w:rStyle w:val="EndnoteReference"/>
        </w:rPr>
        <w:endnoteRef/>
      </w:r>
      <w:r w:rsidRPr="00417FA7">
        <w:rPr>
          <w:lang w:val="en-GB"/>
        </w:rPr>
        <w:t xml:space="preserve"> </w:t>
      </w:r>
      <w:r>
        <w:rPr>
          <w:rStyle w:val="tlid-translation"/>
          <w:lang w:val="en"/>
        </w:rPr>
        <w:t>COVID-19 has been classified in risk group 3 of biological agents by the European Commission. Member States have five months to transpose this modification into their national legislation.</w:t>
      </w:r>
      <w:r>
        <w:rPr>
          <w:lang w:val="en"/>
        </w:rPr>
        <w:t xml:space="preserve"> </w:t>
      </w:r>
      <w:r>
        <w:rPr>
          <w:rStyle w:val="tlid-translation"/>
          <w:lang w:val="en"/>
        </w:rPr>
        <w:t>This classification implies, among other things, that the employer is required to have a risk</w:t>
      </w:r>
      <w:r w:rsidR="00C511DF">
        <w:rPr>
          <w:rStyle w:val="tlid-translation"/>
          <w:lang w:val="en"/>
        </w:rPr>
        <w:t xml:space="preserve"> </w:t>
      </w:r>
      <w:r>
        <w:rPr>
          <w:rStyle w:val="tlid-translation"/>
          <w:lang w:val="en"/>
        </w:rPr>
        <w:t>assessment carried out</w:t>
      </w:r>
      <w:r w:rsidR="00FB255B">
        <w:rPr>
          <w:rStyle w:val="tlid-translation"/>
          <w:lang w:val="en"/>
        </w:rPr>
        <w:t>, on</w:t>
      </w:r>
      <w:r w:rsidR="008B7173">
        <w:rPr>
          <w:rStyle w:val="tlid-translation"/>
          <w:lang w:val="en"/>
        </w:rPr>
        <w:t xml:space="preserve">ly in those workplaces </w:t>
      </w:r>
      <w:r w:rsidR="0092262D" w:rsidRPr="001D0C1F">
        <w:rPr>
          <w:rStyle w:val="tlid-translation"/>
          <w:lang w:val="en-GB"/>
        </w:rPr>
        <w:t>where the presence of the biological agent is a peculiarity of the work itself (i.e. hospitals, laboratories, etc.).</w:t>
      </w:r>
    </w:p>
  </w:endnote>
  <w:endnote w:id="2">
    <w:p w14:paraId="196A2B7A" w14:textId="040FCFE2" w:rsidR="009F0109" w:rsidRDefault="009F0109">
      <w:pPr>
        <w:pStyle w:val="EndnoteText"/>
        <w:rPr>
          <w:lang w:val="en-GB"/>
        </w:rPr>
      </w:pPr>
      <w:r w:rsidRPr="005B6987">
        <w:rPr>
          <w:rStyle w:val="EndnoteReference"/>
        </w:rPr>
        <w:endnoteRef/>
      </w:r>
      <w:r w:rsidRPr="005B6987">
        <w:rPr>
          <w:lang w:val="en-GB"/>
        </w:rPr>
        <w:t xml:space="preserve"> Social partners are aware that different definitions and regulatory frameworks exist throughout Europe.</w:t>
      </w:r>
    </w:p>
    <w:p w14:paraId="6DA6B43E" w14:textId="2F5D8FA2" w:rsidR="003A3C69" w:rsidRDefault="003A3C69">
      <w:pPr>
        <w:pStyle w:val="EndnoteText"/>
        <w:rPr>
          <w:lang w:val="en-GB"/>
        </w:rPr>
      </w:pPr>
    </w:p>
    <w:p w14:paraId="335BFCEA" w14:textId="6B026649" w:rsidR="003A3C69" w:rsidRDefault="003A3C69">
      <w:pPr>
        <w:pStyle w:val="EndnoteText"/>
        <w:rPr>
          <w:lang w:val="en-GB"/>
        </w:rPr>
      </w:pPr>
    </w:p>
    <w:p w14:paraId="561AF115" w14:textId="629FA87D" w:rsidR="003A3C69" w:rsidRDefault="003A3C69">
      <w:pPr>
        <w:pStyle w:val="EndnoteText"/>
        <w:rPr>
          <w:lang w:val="en-GB"/>
        </w:rPr>
      </w:pPr>
    </w:p>
    <w:p w14:paraId="220FB8E6" w14:textId="2FE324EC" w:rsidR="003A3C69" w:rsidRDefault="003A3C69">
      <w:pPr>
        <w:pStyle w:val="EndnoteText"/>
        <w:rPr>
          <w:lang w:val="en-GB"/>
        </w:rPr>
      </w:pPr>
    </w:p>
    <w:p w14:paraId="0A537A2C" w14:textId="28D187FB" w:rsidR="008C39A1" w:rsidRDefault="008C39A1">
      <w:pPr>
        <w:pStyle w:val="EndnoteText"/>
        <w:rPr>
          <w:lang w:val="en-GB"/>
        </w:rPr>
      </w:pPr>
    </w:p>
    <w:p w14:paraId="095A646E" w14:textId="6BCB84EF" w:rsidR="008C39A1" w:rsidRDefault="008C39A1">
      <w:pPr>
        <w:pStyle w:val="EndnoteText"/>
        <w:rPr>
          <w:lang w:val="en-GB"/>
        </w:rPr>
      </w:pPr>
    </w:p>
    <w:p w14:paraId="242EFD0C" w14:textId="77777777" w:rsidR="00065D40" w:rsidRPr="00065D40" w:rsidRDefault="00065D40" w:rsidP="00065D40">
      <w:pPr>
        <w:rPr>
          <w:rFonts w:cstheme="minorHAnsi"/>
          <w:b/>
          <w:bCs/>
          <w:sz w:val="24"/>
          <w:szCs w:val="24"/>
          <w:lang w:val="en-US"/>
        </w:rPr>
      </w:pPr>
      <w:r w:rsidRPr="00065D40">
        <w:rPr>
          <w:rFonts w:cstheme="minorHAnsi"/>
          <w:b/>
          <w:bCs/>
          <w:sz w:val="24"/>
          <w:szCs w:val="24"/>
          <w:lang w:val="en-US"/>
        </w:rPr>
        <w:t>Annex:</w:t>
      </w:r>
    </w:p>
    <w:p w14:paraId="39AE6876" w14:textId="77777777" w:rsidR="00065D40" w:rsidRPr="00065D40" w:rsidRDefault="00065D40" w:rsidP="00065D40">
      <w:pPr>
        <w:pStyle w:val="ListParagraph"/>
        <w:numPr>
          <w:ilvl w:val="0"/>
          <w:numId w:val="8"/>
        </w:numPr>
        <w:rPr>
          <w:rFonts w:asciiTheme="minorHAnsi" w:hAnsiTheme="minorHAnsi" w:cstheme="minorHAnsi"/>
          <w:b/>
          <w:bCs/>
          <w:lang w:val="en-US"/>
        </w:rPr>
      </w:pPr>
      <w:r w:rsidRPr="00065D40">
        <w:rPr>
          <w:rFonts w:asciiTheme="minorHAnsi" w:hAnsiTheme="minorHAnsi" w:cstheme="minorHAnsi"/>
          <w:b/>
          <w:bCs/>
          <w:lang w:val="en-US"/>
        </w:rPr>
        <w:t>Joint Social Partners’ or tripartite H&amp;S guides and protocols issued at Member States’ level:</w:t>
      </w:r>
    </w:p>
    <w:p w14:paraId="72EA4C0F" w14:textId="77777777" w:rsidR="00065D40" w:rsidRPr="00065D40" w:rsidRDefault="00065D40" w:rsidP="00065D40">
      <w:pPr>
        <w:pStyle w:val="ListParagraph"/>
        <w:numPr>
          <w:ilvl w:val="0"/>
          <w:numId w:val="9"/>
        </w:numPr>
        <w:rPr>
          <w:rStyle w:val="Hyperlink"/>
          <w:rFonts w:asciiTheme="minorHAnsi" w:hAnsiTheme="minorHAnsi"/>
          <w:lang w:val="en-GB"/>
        </w:rPr>
      </w:pPr>
      <w:r w:rsidRPr="00065D40">
        <w:rPr>
          <w:rFonts w:asciiTheme="minorHAnsi" w:hAnsiTheme="minorHAnsi"/>
          <w:lang w:val="en-GB"/>
        </w:rPr>
        <w:t>Belgium:  </w:t>
      </w:r>
      <w:hyperlink r:id="rId1" w:history="1">
        <w:r w:rsidRPr="00065D40">
          <w:rPr>
            <w:rStyle w:val="Hyperlink"/>
            <w:rFonts w:asciiTheme="minorHAnsi" w:hAnsiTheme="minorHAnsi"/>
            <w:lang w:val="en-GB"/>
          </w:rPr>
          <w:t>https://internationalview.org/2020/05/02/corona-gids-guide-leitfaden-documentation/</w:t>
        </w:r>
      </w:hyperlink>
    </w:p>
    <w:p w14:paraId="2174C972" w14:textId="77777777" w:rsidR="00065D40" w:rsidRPr="00065D40" w:rsidRDefault="00065D40" w:rsidP="00065D40">
      <w:pPr>
        <w:pStyle w:val="ListParagraph"/>
        <w:numPr>
          <w:ilvl w:val="0"/>
          <w:numId w:val="9"/>
        </w:numPr>
        <w:rPr>
          <w:rStyle w:val="Hyperlink"/>
          <w:rFonts w:asciiTheme="minorHAnsi" w:hAnsiTheme="minorHAnsi"/>
          <w:lang w:val="it-IT"/>
        </w:rPr>
      </w:pPr>
      <w:r w:rsidRPr="00065D40">
        <w:rPr>
          <w:rFonts w:asciiTheme="minorHAnsi" w:hAnsiTheme="minorHAnsi" w:cstheme="minorHAnsi"/>
          <w:lang w:val="it-IT"/>
        </w:rPr>
        <w:t xml:space="preserve">Italy, Federchimica: </w:t>
      </w:r>
      <w:hyperlink r:id="rId2" w:history="1">
        <w:r w:rsidRPr="00065D40">
          <w:rPr>
            <w:rStyle w:val="Hyperlink"/>
            <w:rFonts w:asciiTheme="minorHAnsi" w:hAnsiTheme="minorHAnsi" w:cstheme="minorHAnsi"/>
            <w:lang w:val="it-IT"/>
          </w:rPr>
          <w:t>https://www.confindustria.it/wcm/connect/97e754f1-3e16-4c34-abb3-b94b6ee215ba/Common+regulatory+protocol_24042020_clean.pdf?MOD=AJPERES&amp;CONVERT_TO=url&amp;CACHEID=ROOTWORKSPACE-97e754f1-3e16-4c34-abb3-b94b6ee215ba-n75wSvG</w:t>
        </w:r>
      </w:hyperlink>
    </w:p>
    <w:p w14:paraId="1860E6C5" w14:textId="77777777" w:rsidR="00065D40" w:rsidRPr="00065D40" w:rsidRDefault="00065D40" w:rsidP="00065D40">
      <w:pPr>
        <w:pStyle w:val="ListParagraph"/>
        <w:numPr>
          <w:ilvl w:val="0"/>
          <w:numId w:val="9"/>
        </w:numPr>
        <w:rPr>
          <w:rFonts w:asciiTheme="minorHAnsi" w:hAnsiTheme="minorHAnsi"/>
          <w:lang w:val="en-GB"/>
        </w:rPr>
      </w:pPr>
      <w:r w:rsidRPr="00065D40">
        <w:rPr>
          <w:rFonts w:asciiTheme="minorHAnsi" w:hAnsiTheme="minorHAnsi" w:cstheme="minorHAnsi"/>
          <w:lang w:val="it-IT"/>
        </w:rPr>
        <w:t>Spain</w:t>
      </w:r>
      <w:r w:rsidRPr="00065D40">
        <w:rPr>
          <w:rFonts w:asciiTheme="minorHAnsi" w:hAnsiTheme="minorHAnsi"/>
          <w:lang w:val="en-GB"/>
        </w:rPr>
        <w:t>:</w:t>
      </w:r>
      <w:r w:rsidRPr="00065D40">
        <w:rPr>
          <w:rFonts w:asciiTheme="minorHAnsi" w:hAnsiTheme="minorHAnsi"/>
          <w:lang w:val="en-US"/>
        </w:rPr>
        <w:t xml:space="preserve"> </w:t>
      </w:r>
      <w:hyperlink r:id="rId3" w:history="1">
        <w:r w:rsidRPr="00065D40">
          <w:rPr>
            <w:rStyle w:val="Hyperlink"/>
            <w:rFonts w:asciiTheme="minorHAnsi" w:hAnsiTheme="minorHAnsi"/>
            <w:lang w:val="en-GB"/>
          </w:rPr>
          <w:t>https://www.feique.org/pdfs/Recomendaciones-para-la-proteccion-de-la-salud-de-los-trabajadores-frente-al-covid-19-en-la-industria-quimica.pdf</w:t>
        </w:r>
      </w:hyperlink>
    </w:p>
    <w:p w14:paraId="5881CA90" w14:textId="77777777" w:rsidR="00065D40" w:rsidRPr="00065D40" w:rsidRDefault="00065D40" w:rsidP="00A12407">
      <w:pPr>
        <w:pStyle w:val="ListParagraph"/>
        <w:rPr>
          <w:rFonts w:asciiTheme="minorHAnsi" w:hAnsiTheme="minorHAnsi"/>
          <w:lang w:val="en-GB"/>
        </w:rPr>
      </w:pPr>
    </w:p>
    <w:p w14:paraId="0644DC98" w14:textId="77777777" w:rsidR="00065D40" w:rsidRPr="00065D40" w:rsidRDefault="00065D40" w:rsidP="00065D40">
      <w:pPr>
        <w:pStyle w:val="ListParagraph"/>
        <w:rPr>
          <w:rFonts w:asciiTheme="minorHAnsi" w:hAnsiTheme="minorHAnsi" w:cstheme="minorHAnsi"/>
          <w:b/>
          <w:bCs/>
          <w:lang w:val="en-US"/>
        </w:rPr>
      </w:pPr>
    </w:p>
    <w:p w14:paraId="1ACF6460" w14:textId="77777777" w:rsidR="00065D40" w:rsidRPr="00065D40" w:rsidRDefault="00065D40" w:rsidP="00065D40">
      <w:pPr>
        <w:pStyle w:val="ListParagraph"/>
        <w:numPr>
          <w:ilvl w:val="0"/>
          <w:numId w:val="8"/>
        </w:numPr>
        <w:rPr>
          <w:rFonts w:asciiTheme="minorHAnsi" w:hAnsiTheme="minorHAnsi" w:cstheme="minorHAnsi"/>
          <w:b/>
          <w:bCs/>
          <w:lang w:val="en-US"/>
        </w:rPr>
      </w:pPr>
      <w:r w:rsidRPr="00065D40">
        <w:rPr>
          <w:rFonts w:asciiTheme="minorHAnsi" w:hAnsiTheme="minorHAnsi" w:cstheme="minorHAnsi"/>
          <w:b/>
          <w:bCs/>
          <w:lang w:val="en-US"/>
        </w:rPr>
        <w:t>Employers’ H&amp;S guides and protocols issued at Member States’ level:</w:t>
      </w:r>
    </w:p>
    <w:p w14:paraId="214A7059" w14:textId="77777777" w:rsidR="00065D40" w:rsidRPr="00065D40" w:rsidRDefault="00065D40" w:rsidP="00065D40">
      <w:pPr>
        <w:pStyle w:val="ListParagraph"/>
        <w:numPr>
          <w:ilvl w:val="0"/>
          <w:numId w:val="9"/>
        </w:numPr>
        <w:rPr>
          <w:rFonts w:asciiTheme="minorHAnsi" w:hAnsiTheme="minorHAnsi" w:cstheme="minorHAnsi"/>
          <w:lang w:val="fr-BE"/>
        </w:rPr>
      </w:pPr>
      <w:r w:rsidRPr="00065D40">
        <w:rPr>
          <w:rFonts w:asciiTheme="minorHAnsi" w:hAnsiTheme="minorHAnsi" w:cstheme="minorHAnsi"/>
          <w:lang w:val="fr-BE"/>
        </w:rPr>
        <w:t xml:space="preserve">France, France </w:t>
      </w:r>
      <w:proofErr w:type="gramStart"/>
      <w:r w:rsidRPr="00065D40">
        <w:rPr>
          <w:rFonts w:asciiTheme="minorHAnsi" w:hAnsiTheme="minorHAnsi" w:cstheme="minorHAnsi"/>
          <w:lang w:val="fr-BE"/>
        </w:rPr>
        <w:t>Chimie:</w:t>
      </w:r>
      <w:proofErr w:type="gramEnd"/>
      <w:r w:rsidRPr="00065D40">
        <w:rPr>
          <w:rFonts w:asciiTheme="minorHAnsi" w:hAnsiTheme="minorHAnsi" w:cstheme="minorHAnsi"/>
          <w:lang w:val="fr-BE"/>
        </w:rPr>
        <w:t xml:space="preserve"> </w:t>
      </w:r>
      <w:hyperlink r:id="rId4" w:history="1">
        <w:r w:rsidRPr="00065D40">
          <w:rPr>
            <w:rStyle w:val="Hyperlink"/>
            <w:rFonts w:asciiTheme="minorHAnsi" w:hAnsiTheme="minorHAnsi" w:cstheme="minorHAnsi"/>
            <w:lang w:val="fr-BE"/>
          </w:rPr>
          <w:t>https://www.francechimie.fr/media/2dd/pratiques-coronavirus-branche-chimie-rev4-2020-07-06.pdf</w:t>
        </w:r>
      </w:hyperlink>
    </w:p>
    <w:p w14:paraId="3FC4C605" w14:textId="77777777" w:rsidR="00065D40" w:rsidRPr="006F17B8" w:rsidRDefault="00065D40" w:rsidP="00065D40">
      <w:pPr>
        <w:rPr>
          <w:rStyle w:val="Hyperlink"/>
          <w:rFonts w:ascii="Times New Roman" w:hAnsi="Times New Roman" w:cs="Times New Roman"/>
          <w:sz w:val="24"/>
          <w:szCs w:val="24"/>
          <w:lang w:val="fr-FR"/>
        </w:rPr>
      </w:pPr>
    </w:p>
    <w:p w14:paraId="7AED96CA" w14:textId="77777777" w:rsidR="00065D40" w:rsidRPr="00DC7B35" w:rsidRDefault="00065D40" w:rsidP="00065D40">
      <w:pPr>
        <w:pStyle w:val="ListParagraph"/>
        <w:numPr>
          <w:ilvl w:val="0"/>
          <w:numId w:val="8"/>
        </w:numPr>
        <w:rPr>
          <w:rFonts w:asciiTheme="minorHAnsi" w:hAnsiTheme="minorHAnsi"/>
          <w:color w:val="0563C1"/>
          <w:u w:val="single"/>
          <w:lang w:val="en-GB"/>
        </w:rPr>
      </w:pPr>
      <w:r w:rsidRPr="00DC7B35">
        <w:rPr>
          <w:rFonts w:asciiTheme="minorHAnsi" w:hAnsiTheme="minorHAnsi" w:cstheme="minorHAnsi"/>
          <w:b/>
          <w:bCs/>
          <w:lang w:val="en-US"/>
        </w:rPr>
        <w:t xml:space="preserve">H&amp;S guides and protocols issued from </w:t>
      </w:r>
      <w:r>
        <w:rPr>
          <w:rFonts w:asciiTheme="minorHAnsi" w:hAnsiTheme="minorHAnsi" w:cstheme="minorHAnsi"/>
          <w:b/>
          <w:bCs/>
          <w:lang w:val="en-US"/>
        </w:rPr>
        <w:t xml:space="preserve">authorities </w:t>
      </w:r>
      <w:r w:rsidRPr="00DC7B35">
        <w:rPr>
          <w:rFonts w:asciiTheme="minorHAnsi" w:hAnsiTheme="minorHAnsi" w:cstheme="minorHAnsi"/>
          <w:b/>
          <w:bCs/>
          <w:lang w:val="en-US"/>
        </w:rPr>
        <w:t xml:space="preserve">at Member States’ level: </w:t>
      </w:r>
    </w:p>
    <w:p w14:paraId="07BEAF95" w14:textId="77777777" w:rsidR="00065D40" w:rsidRPr="005A4A04" w:rsidRDefault="00065D40" w:rsidP="00065D40">
      <w:pPr>
        <w:pStyle w:val="ListParagraph"/>
        <w:numPr>
          <w:ilvl w:val="0"/>
          <w:numId w:val="9"/>
        </w:numPr>
        <w:rPr>
          <w:rStyle w:val="Hyperlink"/>
          <w:rFonts w:asciiTheme="minorHAnsi" w:hAnsiTheme="minorHAnsi"/>
          <w:lang w:val="en-GB"/>
        </w:rPr>
      </w:pPr>
      <w:r w:rsidRPr="00DC7B35">
        <w:rPr>
          <w:rFonts w:asciiTheme="minorHAnsi" w:hAnsiTheme="minorHAnsi"/>
          <w:lang w:val="en-US"/>
        </w:rPr>
        <w:t>Germany:</w:t>
      </w:r>
      <w:r w:rsidRPr="00DC7B35">
        <w:rPr>
          <w:rStyle w:val="Hyperlink"/>
          <w:rFonts w:asciiTheme="minorHAnsi" w:hAnsiTheme="minorHAnsi"/>
          <w:lang w:val="en-GB"/>
        </w:rPr>
        <w:t xml:space="preserve"> </w:t>
      </w:r>
      <w:hyperlink r:id="rId5" w:history="1">
        <w:r w:rsidRPr="00DC7B35">
          <w:rPr>
            <w:rStyle w:val="Hyperlink"/>
            <w:rFonts w:asciiTheme="minorHAnsi" w:hAnsiTheme="minorHAnsi"/>
            <w:lang w:val="en-US"/>
          </w:rPr>
          <w:t>https://www.bmas.de/SharedDocs/Downloads/DE/PDF-Schwerpunkte/sars-cov-2-arbeitsschutzstandard.pdf?__blob=publicationFile&amp;v=1</w:t>
        </w:r>
      </w:hyperlink>
    </w:p>
    <w:p w14:paraId="3962A5B2" w14:textId="77777777" w:rsidR="00065D40" w:rsidRPr="005A4A04" w:rsidRDefault="00065D40" w:rsidP="00065D40">
      <w:pPr>
        <w:pStyle w:val="ListParagraph"/>
        <w:numPr>
          <w:ilvl w:val="0"/>
          <w:numId w:val="9"/>
        </w:numPr>
        <w:rPr>
          <w:rStyle w:val="Hyperlink"/>
          <w:rFonts w:asciiTheme="minorHAnsi" w:hAnsiTheme="minorHAnsi" w:cstheme="minorHAnsi"/>
          <w:lang w:val="en-GB"/>
        </w:rPr>
      </w:pPr>
      <w:r w:rsidRPr="005A4A04">
        <w:rPr>
          <w:rFonts w:asciiTheme="minorHAnsi" w:hAnsiTheme="minorHAnsi" w:cstheme="minorHAnsi"/>
          <w:lang w:val="it-IT"/>
        </w:rPr>
        <w:t>Germany</w:t>
      </w:r>
      <w:r w:rsidRPr="005A4A04">
        <w:rPr>
          <w:rFonts w:cstheme="minorHAnsi"/>
          <w:lang w:val="it-IT"/>
        </w:rPr>
        <w:t xml:space="preserve">: </w:t>
      </w:r>
      <w:hyperlink r:id="rId6" w:history="1">
        <w:r w:rsidRPr="005A4A04">
          <w:rPr>
            <w:rStyle w:val="Hyperlink"/>
            <w:rFonts w:asciiTheme="minorHAnsi" w:hAnsiTheme="minorHAnsi" w:cstheme="minorHAnsi"/>
            <w:lang w:val="it-IT"/>
          </w:rPr>
          <w:t>https://www.bgrci.de/praevention/coronavirus/</w:t>
        </w:r>
      </w:hyperlink>
      <w:r w:rsidRPr="005A4A04">
        <w:rPr>
          <w:rFonts w:cstheme="minorHAnsi"/>
          <w:lang w:val="it-IT"/>
        </w:rPr>
        <w:t xml:space="preserve"> </w:t>
      </w:r>
    </w:p>
    <w:p w14:paraId="384633CF" w14:textId="77777777" w:rsidR="00065D40" w:rsidRPr="00E03983" w:rsidRDefault="00065D40" w:rsidP="00702255">
      <w:pPr>
        <w:rPr>
          <w:rFonts w:cstheme="minorHAnsi"/>
          <w:bCs/>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011469"/>
      <w:docPartObj>
        <w:docPartGallery w:val="Page Numbers (Bottom of Page)"/>
        <w:docPartUnique/>
      </w:docPartObj>
    </w:sdtPr>
    <w:sdtEndPr>
      <w:rPr>
        <w:noProof/>
      </w:rPr>
    </w:sdtEndPr>
    <w:sdtContent>
      <w:p w14:paraId="53686AED" w14:textId="54FB72C5" w:rsidR="00A02DF3" w:rsidRDefault="00A02D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6CD36" w14:textId="77777777" w:rsidR="00A02DF3" w:rsidRDefault="00A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CC9B" w14:textId="77777777" w:rsidR="00A848DC" w:rsidRDefault="00A848DC" w:rsidP="005433E6">
      <w:pPr>
        <w:spacing w:after="0" w:line="240" w:lineRule="auto"/>
      </w:pPr>
      <w:r>
        <w:separator/>
      </w:r>
    </w:p>
  </w:footnote>
  <w:footnote w:type="continuationSeparator" w:id="0">
    <w:p w14:paraId="64739316" w14:textId="77777777" w:rsidR="00A848DC" w:rsidRDefault="00A848DC" w:rsidP="005433E6">
      <w:pPr>
        <w:spacing w:after="0" w:line="240" w:lineRule="auto"/>
      </w:pPr>
      <w:r>
        <w:continuationSeparator/>
      </w:r>
    </w:p>
  </w:footnote>
  <w:footnote w:id="1">
    <w:p w14:paraId="4AD2C6B6" w14:textId="79DA1394" w:rsidR="00F82756" w:rsidRPr="00F82756" w:rsidRDefault="00F82756">
      <w:pPr>
        <w:pStyle w:val="FootnoteText"/>
        <w:rPr>
          <w:lang w:val="en-GB"/>
        </w:rPr>
      </w:pPr>
      <w:r>
        <w:rPr>
          <w:rStyle w:val="FootnoteReference"/>
        </w:rPr>
        <w:footnoteRef/>
      </w:r>
      <w:r w:rsidRPr="00992DD9">
        <w:rPr>
          <w:lang w:val="en-US"/>
        </w:rPr>
        <w:t xml:space="preserve"> </w:t>
      </w:r>
      <w:hyperlink r:id="rId1" w:history="1">
        <w:r w:rsidRPr="00992DD9">
          <w:rPr>
            <w:rStyle w:val="Hyperlink"/>
            <w:lang w:val="en-US"/>
          </w:rPr>
          <w:t>EU-OSHA: COVID-19: Back to the workplace -Adapting workplaces and protecting workers</w:t>
        </w:r>
      </w:hyperlink>
    </w:p>
  </w:footnote>
  <w:footnote w:id="2">
    <w:p w14:paraId="6E41B318" w14:textId="10D2BF56" w:rsidR="00AE331C" w:rsidRPr="00F82756" w:rsidRDefault="00AE331C">
      <w:pPr>
        <w:pStyle w:val="FootnoteText"/>
        <w:rPr>
          <w:lang w:val="en-GB"/>
        </w:rPr>
      </w:pPr>
      <w:r>
        <w:rPr>
          <w:rStyle w:val="FootnoteReference"/>
        </w:rPr>
        <w:footnoteRef/>
      </w:r>
      <w:r w:rsidRPr="00992DD9">
        <w:rPr>
          <w:lang w:val="en-US"/>
        </w:rPr>
        <w:t xml:space="preserve"> </w:t>
      </w:r>
      <w:hyperlink r:id="rId2" w:history="1">
        <w:r w:rsidR="001D0C1F" w:rsidRPr="00992DD9">
          <w:rPr>
            <w:rStyle w:val="Hyperlink"/>
            <w:lang w:val="en-US"/>
          </w:rPr>
          <w:t>ILO: A safe and healthy return to work during the COVID-19 pandemic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F7FD" w14:textId="7311BAAF" w:rsidR="00992DD9" w:rsidRDefault="00992DD9">
    <w:pPr>
      <w:pStyle w:val="Header"/>
    </w:pPr>
    <w:r>
      <w:rPr>
        <w:noProof/>
        <w:lang w:eastAsia="zh-CN"/>
      </w:rPr>
      <w:drawing>
        <wp:anchor distT="0" distB="0" distL="114300" distR="114300" simplePos="0" relativeHeight="251659264" behindDoc="0" locked="0" layoutInCell="1" allowOverlap="1" wp14:anchorId="1F70C672" wp14:editId="67EFCF20">
          <wp:simplePos x="0" y="0"/>
          <wp:positionH relativeFrom="column">
            <wp:posOffset>3848100</wp:posOffset>
          </wp:positionH>
          <wp:positionV relativeFrom="paragraph">
            <wp:posOffset>7620</wp:posOffset>
          </wp:positionV>
          <wp:extent cx="2097405" cy="876300"/>
          <wp:effectExtent l="0" t="0" r="0" b="0"/>
          <wp:wrapSquare wrapText="bothSides"/>
          <wp:docPr id="4" name="Picture 4" descr="O:\WSlade\Indus logo ART vect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Slade\Indus logo ART vect 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180C3628" wp14:editId="01BAF0B1">
          <wp:extent cx="800100" cy="800100"/>
          <wp:effectExtent l="0" t="0" r="0" b="0"/>
          <wp:docPr id="3" name="Picture 3" descr="ECE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G_logo_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1591" cy="801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1C5"/>
    <w:multiLevelType w:val="hybridMultilevel"/>
    <w:tmpl w:val="096A85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F4583F"/>
    <w:multiLevelType w:val="hybridMultilevel"/>
    <w:tmpl w:val="7AB4C6C2"/>
    <w:lvl w:ilvl="0" w:tplc="8CEA8C4C">
      <w:start w:val="1"/>
      <w:numFmt w:val="bullet"/>
      <w:lvlText w:val=""/>
      <w:lvlJc w:val="left"/>
      <w:pPr>
        <w:tabs>
          <w:tab w:val="num" w:pos="720"/>
        </w:tabs>
        <w:ind w:left="720" w:hanging="360"/>
      </w:pPr>
      <w:rPr>
        <w:rFonts w:ascii="Wingdings" w:hAnsi="Wingdings" w:hint="default"/>
      </w:rPr>
    </w:lvl>
    <w:lvl w:ilvl="1" w:tplc="B0F431CE">
      <w:numFmt w:val="bullet"/>
      <w:lvlText w:val="•"/>
      <w:lvlJc w:val="left"/>
      <w:pPr>
        <w:tabs>
          <w:tab w:val="num" w:pos="1440"/>
        </w:tabs>
        <w:ind w:left="1440" w:hanging="360"/>
      </w:pPr>
      <w:rPr>
        <w:rFonts w:ascii="Arial" w:hAnsi="Arial" w:hint="default"/>
      </w:rPr>
    </w:lvl>
    <w:lvl w:ilvl="2" w:tplc="24D463E0" w:tentative="1">
      <w:start w:val="1"/>
      <w:numFmt w:val="bullet"/>
      <w:lvlText w:val=""/>
      <w:lvlJc w:val="left"/>
      <w:pPr>
        <w:tabs>
          <w:tab w:val="num" w:pos="2160"/>
        </w:tabs>
        <w:ind w:left="2160" w:hanging="360"/>
      </w:pPr>
      <w:rPr>
        <w:rFonts w:ascii="Wingdings" w:hAnsi="Wingdings" w:hint="default"/>
      </w:rPr>
    </w:lvl>
    <w:lvl w:ilvl="3" w:tplc="F6CCA49C" w:tentative="1">
      <w:start w:val="1"/>
      <w:numFmt w:val="bullet"/>
      <w:lvlText w:val=""/>
      <w:lvlJc w:val="left"/>
      <w:pPr>
        <w:tabs>
          <w:tab w:val="num" w:pos="2880"/>
        </w:tabs>
        <w:ind w:left="2880" w:hanging="360"/>
      </w:pPr>
      <w:rPr>
        <w:rFonts w:ascii="Wingdings" w:hAnsi="Wingdings" w:hint="default"/>
      </w:rPr>
    </w:lvl>
    <w:lvl w:ilvl="4" w:tplc="699E3DE2" w:tentative="1">
      <w:start w:val="1"/>
      <w:numFmt w:val="bullet"/>
      <w:lvlText w:val=""/>
      <w:lvlJc w:val="left"/>
      <w:pPr>
        <w:tabs>
          <w:tab w:val="num" w:pos="3600"/>
        </w:tabs>
        <w:ind w:left="3600" w:hanging="360"/>
      </w:pPr>
      <w:rPr>
        <w:rFonts w:ascii="Wingdings" w:hAnsi="Wingdings" w:hint="default"/>
      </w:rPr>
    </w:lvl>
    <w:lvl w:ilvl="5" w:tplc="8A58E9FE" w:tentative="1">
      <w:start w:val="1"/>
      <w:numFmt w:val="bullet"/>
      <w:lvlText w:val=""/>
      <w:lvlJc w:val="left"/>
      <w:pPr>
        <w:tabs>
          <w:tab w:val="num" w:pos="4320"/>
        </w:tabs>
        <w:ind w:left="4320" w:hanging="360"/>
      </w:pPr>
      <w:rPr>
        <w:rFonts w:ascii="Wingdings" w:hAnsi="Wingdings" w:hint="default"/>
      </w:rPr>
    </w:lvl>
    <w:lvl w:ilvl="6" w:tplc="461295B8" w:tentative="1">
      <w:start w:val="1"/>
      <w:numFmt w:val="bullet"/>
      <w:lvlText w:val=""/>
      <w:lvlJc w:val="left"/>
      <w:pPr>
        <w:tabs>
          <w:tab w:val="num" w:pos="5040"/>
        </w:tabs>
        <w:ind w:left="5040" w:hanging="360"/>
      </w:pPr>
      <w:rPr>
        <w:rFonts w:ascii="Wingdings" w:hAnsi="Wingdings" w:hint="default"/>
      </w:rPr>
    </w:lvl>
    <w:lvl w:ilvl="7" w:tplc="3F725520" w:tentative="1">
      <w:start w:val="1"/>
      <w:numFmt w:val="bullet"/>
      <w:lvlText w:val=""/>
      <w:lvlJc w:val="left"/>
      <w:pPr>
        <w:tabs>
          <w:tab w:val="num" w:pos="5760"/>
        </w:tabs>
        <w:ind w:left="5760" w:hanging="360"/>
      </w:pPr>
      <w:rPr>
        <w:rFonts w:ascii="Wingdings" w:hAnsi="Wingdings" w:hint="default"/>
      </w:rPr>
    </w:lvl>
    <w:lvl w:ilvl="8" w:tplc="0EF429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B3932"/>
    <w:multiLevelType w:val="hybridMultilevel"/>
    <w:tmpl w:val="EE46767A"/>
    <w:lvl w:ilvl="0" w:tplc="6F56C2C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ED3B2B"/>
    <w:multiLevelType w:val="hybridMultilevel"/>
    <w:tmpl w:val="40F8C5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1372964"/>
    <w:multiLevelType w:val="hybridMultilevel"/>
    <w:tmpl w:val="2234965E"/>
    <w:lvl w:ilvl="0" w:tplc="25BC0C34">
      <w:start w:val="1"/>
      <w:numFmt w:val="decimal"/>
      <w:lvlText w:val="%1."/>
      <w:lvlJc w:val="left"/>
      <w:pPr>
        <w:tabs>
          <w:tab w:val="num" w:pos="720"/>
        </w:tabs>
        <w:ind w:left="720" w:hanging="360"/>
      </w:pPr>
      <w:rPr>
        <w:rFonts w:ascii="Calibri" w:eastAsiaTheme="minorHAnsi" w:hAnsi="Calibri" w:cs="Calibri"/>
      </w:rPr>
    </w:lvl>
    <w:lvl w:ilvl="1" w:tplc="A9BC0B92" w:tentative="1">
      <w:start w:val="1"/>
      <w:numFmt w:val="bullet"/>
      <w:lvlText w:val=""/>
      <w:lvlJc w:val="left"/>
      <w:pPr>
        <w:tabs>
          <w:tab w:val="num" w:pos="1440"/>
        </w:tabs>
        <w:ind w:left="1440" w:hanging="360"/>
      </w:pPr>
      <w:rPr>
        <w:rFonts w:ascii="Wingdings" w:hAnsi="Wingdings" w:hint="default"/>
      </w:rPr>
    </w:lvl>
    <w:lvl w:ilvl="2" w:tplc="212AA13E" w:tentative="1">
      <w:start w:val="1"/>
      <w:numFmt w:val="bullet"/>
      <w:lvlText w:val=""/>
      <w:lvlJc w:val="left"/>
      <w:pPr>
        <w:tabs>
          <w:tab w:val="num" w:pos="2160"/>
        </w:tabs>
        <w:ind w:left="2160" w:hanging="360"/>
      </w:pPr>
      <w:rPr>
        <w:rFonts w:ascii="Wingdings" w:hAnsi="Wingdings" w:hint="default"/>
      </w:rPr>
    </w:lvl>
    <w:lvl w:ilvl="3" w:tplc="333AA4DC" w:tentative="1">
      <w:start w:val="1"/>
      <w:numFmt w:val="bullet"/>
      <w:lvlText w:val=""/>
      <w:lvlJc w:val="left"/>
      <w:pPr>
        <w:tabs>
          <w:tab w:val="num" w:pos="2880"/>
        </w:tabs>
        <w:ind w:left="2880" w:hanging="360"/>
      </w:pPr>
      <w:rPr>
        <w:rFonts w:ascii="Wingdings" w:hAnsi="Wingdings" w:hint="default"/>
      </w:rPr>
    </w:lvl>
    <w:lvl w:ilvl="4" w:tplc="27F43CBE" w:tentative="1">
      <w:start w:val="1"/>
      <w:numFmt w:val="bullet"/>
      <w:lvlText w:val=""/>
      <w:lvlJc w:val="left"/>
      <w:pPr>
        <w:tabs>
          <w:tab w:val="num" w:pos="3600"/>
        </w:tabs>
        <w:ind w:left="3600" w:hanging="360"/>
      </w:pPr>
      <w:rPr>
        <w:rFonts w:ascii="Wingdings" w:hAnsi="Wingdings" w:hint="default"/>
      </w:rPr>
    </w:lvl>
    <w:lvl w:ilvl="5" w:tplc="AA482B82" w:tentative="1">
      <w:start w:val="1"/>
      <w:numFmt w:val="bullet"/>
      <w:lvlText w:val=""/>
      <w:lvlJc w:val="left"/>
      <w:pPr>
        <w:tabs>
          <w:tab w:val="num" w:pos="4320"/>
        </w:tabs>
        <w:ind w:left="4320" w:hanging="360"/>
      </w:pPr>
      <w:rPr>
        <w:rFonts w:ascii="Wingdings" w:hAnsi="Wingdings" w:hint="default"/>
      </w:rPr>
    </w:lvl>
    <w:lvl w:ilvl="6" w:tplc="813A131C" w:tentative="1">
      <w:start w:val="1"/>
      <w:numFmt w:val="bullet"/>
      <w:lvlText w:val=""/>
      <w:lvlJc w:val="left"/>
      <w:pPr>
        <w:tabs>
          <w:tab w:val="num" w:pos="5040"/>
        </w:tabs>
        <w:ind w:left="5040" w:hanging="360"/>
      </w:pPr>
      <w:rPr>
        <w:rFonts w:ascii="Wingdings" w:hAnsi="Wingdings" w:hint="default"/>
      </w:rPr>
    </w:lvl>
    <w:lvl w:ilvl="7" w:tplc="55982284" w:tentative="1">
      <w:start w:val="1"/>
      <w:numFmt w:val="bullet"/>
      <w:lvlText w:val=""/>
      <w:lvlJc w:val="left"/>
      <w:pPr>
        <w:tabs>
          <w:tab w:val="num" w:pos="5760"/>
        </w:tabs>
        <w:ind w:left="5760" w:hanging="360"/>
      </w:pPr>
      <w:rPr>
        <w:rFonts w:ascii="Wingdings" w:hAnsi="Wingdings" w:hint="default"/>
      </w:rPr>
    </w:lvl>
    <w:lvl w:ilvl="8" w:tplc="917A6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53061"/>
    <w:multiLevelType w:val="hybridMultilevel"/>
    <w:tmpl w:val="2234965E"/>
    <w:lvl w:ilvl="0" w:tplc="25BC0C34">
      <w:start w:val="1"/>
      <w:numFmt w:val="decimal"/>
      <w:lvlText w:val="%1."/>
      <w:lvlJc w:val="left"/>
      <w:pPr>
        <w:tabs>
          <w:tab w:val="num" w:pos="720"/>
        </w:tabs>
        <w:ind w:left="720" w:hanging="360"/>
      </w:pPr>
      <w:rPr>
        <w:rFonts w:ascii="Calibri" w:eastAsiaTheme="minorHAnsi" w:hAnsi="Calibri" w:cs="Calibri"/>
      </w:rPr>
    </w:lvl>
    <w:lvl w:ilvl="1" w:tplc="A9BC0B92" w:tentative="1">
      <w:start w:val="1"/>
      <w:numFmt w:val="bullet"/>
      <w:lvlText w:val=""/>
      <w:lvlJc w:val="left"/>
      <w:pPr>
        <w:tabs>
          <w:tab w:val="num" w:pos="1440"/>
        </w:tabs>
        <w:ind w:left="1440" w:hanging="360"/>
      </w:pPr>
      <w:rPr>
        <w:rFonts w:ascii="Wingdings" w:hAnsi="Wingdings" w:hint="default"/>
      </w:rPr>
    </w:lvl>
    <w:lvl w:ilvl="2" w:tplc="212AA13E" w:tentative="1">
      <w:start w:val="1"/>
      <w:numFmt w:val="bullet"/>
      <w:lvlText w:val=""/>
      <w:lvlJc w:val="left"/>
      <w:pPr>
        <w:tabs>
          <w:tab w:val="num" w:pos="2160"/>
        </w:tabs>
        <w:ind w:left="2160" w:hanging="360"/>
      </w:pPr>
      <w:rPr>
        <w:rFonts w:ascii="Wingdings" w:hAnsi="Wingdings" w:hint="default"/>
      </w:rPr>
    </w:lvl>
    <w:lvl w:ilvl="3" w:tplc="333AA4DC" w:tentative="1">
      <w:start w:val="1"/>
      <w:numFmt w:val="bullet"/>
      <w:lvlText w:val=""/>
      <w:lvlJc w:val="left"/>
      <w:pPr>
        <w:tabs>
          <w:tab w:val="num" w:pos="2880"/>
        </w:tabs>
        <w:ind w:left="2880" w:hanging="360"/>
      </w:pPr>
      <w:rPr>
        <w:rFonts w:ascii="Wingdings" w:hAnsi="Wingdings" w:hint="default"/>
      </w:rPr>
    </w:lvl>
    <w:lvl w:ilvl="4" w:tplc="27F43CBE" w:tentative="1">
      <w:start w:val="1"/>
      <w:numFmt w:val="bullet"/>
      <w:lvlText w:val=""/>
      <w:lvlJc w:val="left"/>
      <w:pPr>
        <w:tabs>
          <w:tab w:val="num" w:pos="3600"/>
        </w:tabs>
        <w:ind w:left="3600" w:hanging="360"/>
      </w:pPr>
      <w:rPr>
        <w:rFonts w:ascii="Wingdings" w:hAnsi="Wingdings" w:hint="default"/>
      </w:rPr>
    </w:lvl>
    <w:lvl w:ilvl="5" w:tplc="AA482B82" w:tentative="1">
      <w:start w:val="1"/>
      <w:numFmt w:val="bullet"/>
      <w:lvlText w:val=""/>
      <w:lvlJc w:val="left"/>
      <w:pPr>
        <w:tabs>
          <w:tab w:val="num" w:pos="4320"/>
        </w:tabs>
        <w:ind w:left="4320" w:hanging="360"/>
      </w:pPr>
      <w:rPr>
        <w:rFonts w:ascii="Wingdings" w:hAnsi="Wingdings" w:hint="default"/>
      </w:rPr>
    </w:lvl>
    <w:lvl w:ilvl="6" w:tplc="813A131C" w:tentative="1">
      <w:start w:val="1"/>
      <w:numFmt w:val="bullet"/>
      <w:lvlText w:val=""/>
      <w:lvlJc w:val="left"/>
      <w:pPr>
        <w:tabs>
          <w:tab w:val="num" w:pos="5040"/>
        </w:tabs>
        <w:ind w:left="5040" w:hanging="360"/>
      </w:pPr>
      <w:rPr>
        <w:rFonts w:ascii="Wingdings" w:hAnsi="Wingdings" w:hint="default"/>
      </w:rPr>
    </w:lvl>
    <w:lvl w:ilvl="7" w:tplc="55982284" w:tentative="1">
      <w:start w:val="1"/>
      <w:numFmt w:val="bullet"/>
      <w:lvlText w:val=""/>
      <w:lvlJc w:val="left"/>
      <w:pPr>
        <w:tabs>
          <w:tab w:val="num" w:pos="5760"/>
        </w:tabs>
        <w:ind w:left="5760" w:hanging="360"/>
      </w:pPr>
      <w:rPr>
        <w:rFonts w:ascii="Wingdings" w:hAnsi="Wingdings" w:hint="default"/>
      </w:rPr>
    </w:lvl>
    <w:lvl w:ilvl="8" w:tplc="917A6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A084F"/>
    <w:multiLevelType w:val="hybridMultilevel"/>
    <w:tmpl w:val="DEC60854"/>
    <w:lvl w:ilvl="0" w:tplc="F1AA93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E7ED3"/>
    <w:multiLevelType w:val="hybridMultilevel"/>
    <w:tmpl w:val="77DCC1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7ABF3B22"/>
    <w:multiLevelType w:val="hybridMultilevel"/>
    <w:tmpl w:val="454866B0"/>
    <w:lvl w:ilvl="0" w:tplc="F9F83B42">
      <w:numFmt w:val="bullet"/>
      <w:lvlText w:val="-"/>
      <w:lvlJc w:val="left"/>
      <w:pPr>
        <w:ind w:left="720" w:hanging="360"/>
      </w:pPr>
      <w:rPr>
        <w:rFonts w:ascii="Calibri" w:eastAsiaTheme="minorHAnsi" w:hAnsi="Calibri" w:cstheme="minorHAnsi"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4B"/>
    <w:rsid w:val="00026BB8"/>
    <w:rsid w:val="000438D7"/>
    <w:rsid w:val="00065D40"/>
    <w:rsid w:val="000A12F9"/>
    <w:rsid w:val="000E2EAF"/>
    <w:rsid w:val="000F3F14"/>
    <w:rsid w:val="00106A86"/>
    <w:rsid w:val="0011283F"/>
    <w:rsid w:val="0012568E"/>
    <w:rsid w:val="00142474"/>
    <w:rsid w:val="0016195C"/>
    <w:rsid w:val="00171B0D"/>
    <w:rsid w:val="00172381"/>
    <w:rsid w:val="0018430D"/>
    <w:rsid w:val="0019333A"/>
    <w:rsid w:val="001952C7"/>
    <w:rsid w:val="001A0821"/>
    <w:rsid w:val="001A30E1"/>
    <w:rsid w:val="001D0C1F"/>
    <w:rsid w:val="001D69A2"/>
    <w:rsid w:val="001D7E5D"/>
    <w:rsid w:val="00207532"/>
    <w:rsid w:val="00240914"/>
    <w:rsid w:val="00241376"/>
    <w:rsid w:val="0024333E"/>
    <w:rsid w:val="002507AA"/>
    <w:rsid w:val="00253509"/>
    <w:rsid w:val="002549C2"/>
    <w:rsid w:val="00273112"/>
    <w:rsid w:val="002762A9"/>
    <w:rsid w:val="002979CC"/>
    <w:rsid w:val="002C2D7A"/>
    <w:rsid w:val="002D5A73"/>
    <w:rsid w:val="002D697F"/>
    <w:rsid w:val="002F7CE9"/>
    <w:rsid w:val="0030071B"/>
    <w:rsid w:val="0032419B"/>
    <w:rsid w:val="00336232"/>
    <w:rsid w:val="00344E9D"/>
    <w:rsid w:val="00356479"/>
    <w:rsid w:val="00363DB0"/>
    <w:rsid w:val="003848CE"/>
    <w:rsid w:val="0039251F"/>
    <w:rsid w:val="003A009E"/>
    <w:rsid w:val="003A3C69"/>
    <w:rsid w:val="003A7750"/>
    <w:rsid w:val="003B6273"/>
    <w:rsid w:val="003D5825"/>
    <w:rsid w:val="003F4BFA"/>
    <w:rsid w:val="0041386A"/>
    <w:rsid w:val="00417FA7"/>
    <w:rsid w:val="00420462"/>
    <w:rsid w:val="00431B67"/>
    <w:rsid w:val="00441613"/>
    <w:rsid w:val="0049094E"/>
    <w:rsid w:val="00490C42"/>
    <w:rsid w:val="004914FA"/>
    <w:rsid w:val="00494840"/>
    <w:rsid w:val="004A2E07"/>
    <w:rsid w:val="004A5577"/>
    <w:rsid w:val="004F4BF7"/>
    <w:rsid w:val="0050507A"/>
    <w:rsid w:val="00531BC8"/>
    <w:rsid w:val="005433E6"/>
    <w:rsid w:val="00552C76"/>
    <w:rsid w:val="00563070"/>
    <w:rsid w:val="00573275"/>
    <w:rsid w:val="00585FDB"/>
    <w:rsid w:val="00592C4F"/>
    <w:rsid w:val="0059425E"/>
    <w:rsid w:val="005B2C9B"/>
    <w:rsid w:val="005B6987"/>
    <w:rsid w:val="005E6234"/>
    <w:rsid w:val="005F2F0E"/>
    <w:rsid w:val="005F67CF"/>
    <w:rsid w:val="00614982"/>
    <w:rsid w:val="00630796"/>
    <w:rsid w:val="00631E2B"/>
    <w:rsid w:val="006334A2"/>
    <w:rsid w:val="00635960"/>
    <w:rsid w:val="00653E1A"/>
    <w:rsid w:val="00667D99"/>
    <w:rsid w:val="006764EE"/>
    <w:rsid w:val="006907B7"/>
    <w:rsid w:val="006A2902"/>
    <w:rsid w:val="006E100B"/>
    <w:rsid w:val="006F17B8"/>
    <w:rsid w:val="00702255"/>
    <w:rsid w:val="00707B95"/>
    <w:rsid w:val="00715DD7"/>
    <w:rsid w:val="007A3F99"/>
    <w:rsid w:val="007B3E33"/>
    <w:rsid w:val="007C2F4B"/>
    <w:rsid w:val="007E000A"/>
    <w:rsid w:val="00801728"/>
    <w:rsid w:val="00830158"/>
    <w:rsid w:val="008A2DB7"/>
    <w:rsid w:val="008B7173"/>
    <w:rsid w:val="008C39A1"/>
    <w:rsid w:val="008D2F5E"/>
    <w:rsid w:val="008E34D1"/>
    <w:rsid w:val="008F7899"/>
    <w:rsid w:val="00905031"/>
    <w:rsid w:val="00912CA4"/>
    <w:rsid w:val="0092262D"/>
    <w:rsid w:val="00941970"/>
    <w:rsid w:val="009559EE"/>
    <w:rsid w:val="00992DD9"/>
    <w:rsid w:val="00993E3B"/>
    <w:rsid w:val="009A5CC4"/>
    <w:rsid w:val="009C6B50"/>
    <w:rsid w:val="009C7BC6"/>
    <w:rsid w:val="009F0109"/>
    <w:rsid w:val="009F664C"/>
    <w:rsid w:val="00A02DF3"/>
    <w:rsid w:val="00A12407"/>
    <w:rsid w:val="00A341A3"/>
    <w:rsid w:val="00A423BC"/>
    <w:rsid w:val="00A44A93"/>
    <w:rsid w:val="00A523A5"/>
    <w:rsid w:val="00A738D6"/>
    <w:rsid w:val="00A83E87"/>
    <w:rsid w:val="00A8415C"/>
    <w:rsid w:val="00A848DC"/>
    <w:rsid w:val="00A93F41"/>
    <w:rsid w:val="00A97233"/>
    <w:rsid w:val="00AA359B"/>
    <w:rsid w:val="00AB2762"/>
    <w:rsid w:val="00AB3A2E"/>
    <w:rsid w:val="00AD4B4D"/>
    <w:rsid w:val="00AD757E"/>
    <w:rsid w:val="00AE331C"/>
    <w:rsid w:val="00B01CCD"/>
    <w:rsid w:val="00B263F6"/>
    <w:rsid w:val="00B3522A"/>
    <w:rsid w:val="00B4743A"/>
    <w:rsid w:val="00B7027C"/>
    <w:rsid w:val="00B72B9B"/>
    <w:rsid w:val="00B737D9"/>
    <w:rsid w:val="00C31E58"/>
    <w:rsid w:val="00C511DF"/>
    <w:rsid w:val="00C53188"/>
    <w:rsid w:val="00C65763"/>
    <w:rsid w:val="00C70EB1"/>
    <w:rsid w:val="00C83708"/>
    <w:rsid w:val="00C924B7"/>
    <w:rsid w:val="00CA3617"/>
    <w:rsid w:val="00CB5C7F"/>
    <w:rsid w:val="00CC483B"/>
    <w:rsid w:val="00CD3B9F"/>
    <w:rsid w:val="00CF1DF7"/>
    <w:rsid w:val="00CF3F02"/>
    <w:rsid w:val="00D626DD"/>
    <w:rsid w:val="00D73BB2"/>
    <w:rsid w:val="00DA17E6"/>
    <w:rsid w:val="00DC7B35"/>
    <w:rsid w:val="00DE2F09"/>
    <w:rsid w:val="00E03983"/>
    <w:rsid w:val="00E33974"/>
    <w:rsid w:val="00E367CF"/>
    <w:rsid w:val="00E53D99"/>
    <w:rsid w:val="00E84E00"/>
    <w:rsid w:val="00EA0E8E"/>
    <w:rsid w:val="00EA7DAC"/>
    <w:rsid w:val="00EC4462"/>
    <w:rsid w:val="00ED3E41"/>
    <w:rsid w:val="00ED5FE8"/>
    <w:rsid w:val="00EF1B5A"/>
    <w:rsid w:val="00F01505"/>
    <w:rsid w:val="00F04C02"/>
    <w:rsid w:val="00F133F1"/>
    <w:rsid w:val="00F21D4B"/>
    <w:rsid w:val="00F36B70"/>
    <w:rsid w:val="00F415F1"/>
    <w:rsid w:val="00F62A1F"/>
    <w:rsid w:val="00F725BD"/>
    <w:rsid w:val="00F72CAB"/>
    <w:rsid w:val="00F73909"/>
    <w:rsid w:val="00F82756"/>
    <w:rsid w:val="00FA50A0"/>
    <w:rsid w:val="00FB255B"/>
    <w:rsid w:val="00FE77E0"/>
    <w:rsid w:val="00FF4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3ABF8"/>
  <w15:chartTrackingRefBased/>
  <w15:docId w15:val="{9BC36BC5-7502-4083-9E32-787163FD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B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AA"/>
    <w:rPr>
      <w:rFonts w:ascii="Segoe UI" w:hAnsi="Segoe UI" w:cs="Segoe UI"/>
      <w:sz w:val="18"/>
      <w:szCs w:val="18"/>
    </w:rPr>
  </w:style>
  <w:style w:type="paragraph" w:styleId="FootnoteText">
    <w:name w:val="footnote text"/>
    <w:basedOn w:val="Normal"/>
    <w:link w:val="FootnoteTextChar"/>
    <w:uiPriority w:val="99"/>
    <w:semiHidden/>
    <w:unhideWhenUsed/>
    <w:rsid w:val="0054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3E6"/>
    <w:rPr>
      <w:sz w:val="20"/>
      <w:szCs w:val="20"/>
    </w:rPr>
  </w:style>
  <w:style w:type="character" w:styleId="FootnoteReference">
    <w:name w:val="footnote reference"/>
    <w:basedOn w:val="DefaultParagraphFont"/>
    <w:uiPriority w:val="99"/>
    <w:semiHidden/>
    <w:unhideWhenUsed/>
    <w:rsid w:val="005433E6"/>
    <w:rPr>
      <w:vertAlign w:val="superscript"/>
    </w:rPr>
  </w:style>
  <w:style w:type="character" w:styleId="Hyperlink">
    <w:name w:val="Hyperlink"/>
    <w:basedOn w:val="DefaultParagraphFont"/>
    <w:uiPriority w:val="99"/>
    <w:unhideWhenUsed/>
    <w:rsid w:val="008A2DB7"/>
    <w:rPr>
      <w:color w:val="0563C1"/>
      <w:u w:val="single"/>
    </w:rPr>
  </w:style>
  <w:style w:type="character" w:styleId="UnresolvedMention">
    <w:name w:val="Unresolved Mention"/>
    <w:basedOn w:val="DefaultParagraphFont"/>
    <w:uiPriority w:val="99"/>
    <w:semiHidden/>
    <w:unhideWhenUsed/>
    <w:rsid w:val="00C70EB1"/>
    <w:rPr>
      <w:color w:val="605E5C"/>
      <w:shd w:val="clear" w:color="auto" w:fill="E1DFDD"/>
    </w:rPr>
  </w:style>
  <w:style w:type="paragraph" w:styleId="Header">
    <w:name w:val="header"/>
    <w:basedOn w:val="Normal"/>
    <w:link w:val="HeaderChar"/>
    <w:uiPriority w:val="99"/>
    <w:unhideWhenUsed/>
    <w:rsid w:val="00992D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DD9"/>
  </w:style>
  <w:style w:type="paragraph" w:styleId="Footer">
    <w:name w:val="footer"/>
    <w:basedOn w:val="Normal"/>
    <w:link w:val="FooterChar"/>
    <w:uiPriority w:val="99"/>
    <w:unhideWhenUsed/>
    <w:rsid w:val="00992D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DD9"/>
  </w:style>
  <w:style w:type="character" w:styleId="CommentReference">
    <w:name w:val="annotation reference"/>
    <w:basedOn w:val="DefaultParagraphFont"/>
    <w:uiPriority w:val="99"/>
    <w:semiHidden/>
    <w:unhideWhenUsed/>
    <w:rsid w:val="00AD4B4D"/>
    <w:rPr>
      <w:sz w:val="16"/>
      <w:szCs w:val="16"/>
    </w:rPr>
  </w:style>
  <w:style w:type="paragraph" w:styleId="CommentText">
    <w:name w:val="annotation text"/>
    <w:basedOn w:val="Normal"/>
    <w:link w:val="CommentTextChar"/>
    <w:uiPriority w:val="99"/>
    <w:semiHidden/>
    <w:unhideWhenUsed/>
    <w:rsid w:val="00AD4B4D"/>
    <w:pPr>
      <w:spacing w:line="240" w:lineRule="auto"/>
    </w:pPr>
    <w:rPr>
      <w:sz w:val="20"/>
      <w:szCs w:val="20"/>
    </w:rPr>
  </w:style>
  <w:style w:type="character" w:customStyle="1" w:styleId="CommentTextChar">
    <w:name w:val="Comment Text Char"/>
    <w:basedOn w:val="DefaultParagraphFont"/>
    <w:link w:val="CommentText"/>
    <w:uiPriority w:val="99"/>
    <w:semiHidden/>
    <w:rsid w:val="00AD4B4D"/>
    <w:rPr>
      <w:sz w:val="20"/>
      <w:szCs w:val="20"/>
    </w:rPr>
  </w:style>
  <w:style w:type="paragraph" w:styleId="CommentSubject">
    <w:name w:val="annotation subject"/>
    <w:basedOn w:val="CommentText"/>
    <w:next w:val="CommentText"/>
    <w:link w:val="CommentSubjectChar"/>
    <w:uiPriority w:val="99"/>
    <w:semiHidden/>
    <w:unhideWhenUsed/>
    <w:rsid w:val="00AD4B4D"/>
    <w:rPr>
      <w:b/>
      <w:bCs/>
    </w:rPr>
  </w:style>
  <w:style w:type="character" w:customStyle="1" w:styleId="CommentSubjectChar">
    <w:name w:val="Comment Subject Char"/>
    <w:basedOn w:val="CommentTextChar"/>
    <w:link w:val="CommentSubject"/>
    <w:uiPriority w:val="99"/>
    <w:semiHidden/>
    <w:rsid w:val="00AD4B4D"/>
    <w:rPr>
      <w:b/>
      <w:bCs/>
      <w:sz w:val="20"/>
      <w:szCs w:val="20"/>
    </w:rPr>
  </w:style>
  <w:style w:type="paragraph" w:styleId="EndnoteText">
    <w:name w:val="endnote text"/>
    <w:basedOn w:val="Normal"/>
    <w:link w:val="EndnoteTextChar"/>
    <w:uiPriority w:val="99"/>
    <w:semiHidden/>
    <w:unhideWhenUsed/>
    <w:rsid w:val="00AD4B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B4D"/>
    <w:rPr>
      <w:sz w:val="20"/>
      <w:szCs w:val="20"/>
    </w:rPr>
  </w:style>
  <w:style w:type="character" w:styleId="EndnoteReference">
    <w:name w:val="endnote reference"/>
    <w:basedOn w:val="DefaultParagraphFont"/>
    <w:uiPriority w:val="99"/>
    <w:semiHidden/>
    <w:unhideWhenUsed/>
    <w:rsid w:val="00AD4B4D"/>
    <w:rPr>
      <w:vertAlign w:val="superscript"/>
    </w:rPr>
  </w:style>
  <w:style w:type="character" w:customStyle="1" w:styleId="tlid-translation">
    <w:name w:val="tlid-translation"/>
    <w:basedOn w:val="DefaultParagraphFont"/>
    <w:rsid w:val="00AD4B4D"/>
  </w:style>
  <w:style w:type="character" w:styleId="FollowedHyperlink">
    <w:name w:val="FollowedHyperlink"/>
    <w:basedOn w:val="DefaultParagraphFont"/>
    <w:uiPriority w:val="99"/>
    <w:semiHidden/>
    <w:unhideWhenUsed/>
    <w:rsid w:val="00AD7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4215">
      <w:bodyDiv w:val="1"/>
      <w:marLeft w:val="0"/>
      <w:marRight w:val="0"/>
      <w:marTop w:val="0"/>
      <w:marBottom w:val="0"/>
      <w:divBdr>
        <w:top w:val="none" w:sz="0" w:space="0" w:color="auto"/>
        <w:left w:val="none" w:sz="0" w:space="0" w:color="auto"/>
        <w:bottom w:val="none" w:sz="0" w:space="0" w:color="auto"/>
        <w:right w:val="none" w:sz="0" w:space="0" w:color="auto"/>
      </w:divBdr>
      <w:divsChild>
        <w:div w:id="151528239">
          <w:marLeft w:val="446"/>
          <w:marRight w:val="0"/>
          <w:marTop w:val="0"/>
          <w:marBottom w:val="0"/>
          <w:divBdr>
            <w:top w:val="none" w:sz="0" w:space="0" w:color="auto"/>
            <w:left w:val="none" w:sz="0" w:space="0" w:color="auto"/>
            <w:bottom w:val="none" w:sz="0" w:space="0" w:color="auto"/>
            <w:right w:val="none" w:sz="0" w:space="0" w:color="auto"/>
          </w:divBdr>
        </w:div>
        <w:div w:id="962811322">
          <w:marLeft w:val="446"/>
          <w:marRight w:val="0"/>
          <w:marTop w:val="0"/>
          <w:marBottom w:val="0"/>
          <w:divBdr>
            <w:top w:val="none" w:sz="0" w:space="0" w:color="auto"/>
            <w:left w:val="none" w:sz="0" w:space="0" w:color="auto"/>
            <w:bottom w:val="none" w:sz="0" w:space="0" w:color="auto"/>
            <w:right w:val="none" w:sz="0" w:space="0" w:color="auto"/>
          </w:divBdr>
        </w:div>
        <w:div w:id="891232005">
          <w:marLeft w:val="446"/>
          <w:marRight w:val="0"/>
          <w:marTop w:val="0"/>
          <w:marBottom w:val="0"/>
          <w:divBdr>
            <w:top w:val="none" w:sz="0" w:space="0" w:color="auto"/>
            <w:left w:val="none" w:sz="0" w:space="0" w:color="auto"/>
            <w:bottom w:val="none" w:sz="0" w:space="0" w:color="auto"/>
            <w:right w:val="none" w:sz="0" w:space="0" w:color="auto"/>
          </w:divBdr>
        </w:div>
        <w:div w:id="484128084">
          <w:marLeft w:val="1166"/>
          <w:marRight w:val="0"/>
          <w:marTop w:val="0"/>
          <w:marBottom w:val="0"/>
          <w:divBdr>
            <w:top w:val="none" w:sz="0" w:space="0" w:color="auto"/>
            <w:left w:val="none" w:sz="0" w:space="0" w:color="auto"/>
            <w:bottom w:val="none" w:sz="0" w:space="0" w:color="auto"/>
            <w:right w:val="none" w:sz="0" w:space="0" w:color="auto"/>
          </w:divBdr>
        </w:div>
        <w:div w:id="1843012103">
          <w:marLeft w:val="446"/>
          <w:marRight w:val="0"/>
          <w:marTop w:val="0"/>
          <w:marBottom w:val="0"/>
          <w:divBdr>
            <w:top w:val="none" w:sz="0" w:space="0" w:color="auto"/>
            <w:left w:val="none" w:sz="0" w:space="0" w:color="auto"/>
            <w:bottom w:val="none" w:sz="0" w:space="0" w:color="auto"/>
            <w:right w:val="none" w:sz="0" w:space="0" w:color="auto"/>
          </w:divBdr>
        </w:div>
      </w:divsChild>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748890691">
      <w:bodyDiv w:val="1"/>
      <w:marLeft w:val="0"/>
      <w:marRight w:val="0"/>
      <w:marTop w:val="0"/>
      <w:marBottom w:val="0"/>
      <w:divBdr>
        <w:top w:val="none" w:sz="0" w:space="0" w:color="auto"/>
        <w:left w:val="none" w:sz="0" w:space="0" w:color="auto"/>
        <w:bottom w:val="none" w:sz="0" w:space="0" w:color="auto"/>
        <w:right w:val="none" w:sz="0" w:space="0" w:color="auto"/>
      </w:divBdr>
    </w:div>
    <w:div w:id="1273051876">
      <w:bodyDiv w:val="1"/>
      <w:marLeft w:val="0"/>
      <w:marRight w:val="0"/>
      <w:marTop w:val="0"/>
      <w:marBottom w:val="0"/>
      <w:divBdr>
        <w:top w:val="none" w:sz="0" w:space="0" w:color="auto"/>
        <w:left w:val="none" w:sz="0" w:space="0" w:color="auto"/>
        <w:bottom w:val="none" w:sz="0" w:space="0" w:color="auto"/>
        <w:right w:val="none" w:sz="0" w:space="0" w:color="auto"/>
      </w:divBdr>
    </w:div>
    <w:div w:id="1995377785">
      <w:bodyDiv w:val="1"/>
      <w:marLeft w:val="0"/>
      <w:marRight w:val="0"/>
      <w:marTop w:val="0"/>
      <w:marBottom w:val="0"/>
      <w:divBdr>
        <w:top w:val="none" w:sz="0" w:space="0" w:color="auto"/>
        <w:left w:val="none" w:sz="0" w:space="0" w:color="auto"/>
        <w:bottom w:val="none" w:sz="0" w:space="0" w:color="auto"/>
        <w:right w:val="none" w:sz="0" w:space="0" w:color="auto"/>
      </w:divBdr>
      <w:divsChild>
        <w:div w:id="1999721974">
          <w:marLeft w:val="446"/>
          <w:marRight w:val="0"/>
          <w:marTop w:val="0"/>
          <w:marBottom w:val="0"/>
          <w:divBdr>
            <w:top w:val="none" w:sz="0" w:space="0" w:color="auto"/>
            <w:left w:val="none" w:sz="0" w:space="0" w:color="auto"/>
            <w:bottom w:val="none" w:sz="0" w:space="0" w:color="auto"/>
            <w:right w:val="none" w:sz="0" w:space="0" w:color="auto"/>
          </w:divBdr>
        </w:div>
        <w:div w:id="1806117357">
          <w:marLeft w:val="446"/>
          <w:marRight w:val="0"/>
          <w:marTop w:val="0"/>
          <w:marBottom w:val="0"/>
          <w:divBdr>
            <w:top w:val="none" w:sz="0" w:space="0" w:color="auto"/>
            <w:left w:val="none" w:sz="0" w:space="0" w:color="auto"/>
            <w:bottom w:val="none" w:sz="0" w:space="0" w:color="auto"/>
            <w:right w:val="none" w:sz="0" w:space="0" w:color="auto"/>
          </w:divBdr>
        </w:div>
        <w:div w:id="1233519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feique.org/pdfs/Recomendaciones-para-la-proteccion-de-la-salud-de-los-trabajadores-frente-al-covid-19-en-la-industria-quimica.pdf" TargetMode="External"/><Relationship Id="rId2" Type="http://schemas.openxmlformats.org/officeDocument/2006/relationships/hyperlink" Target="https://clicktime.symantec.com/3AB5rF84QSVBAmnZnt3nmu26H2?u=https%3A%2F%2Fwww.confindustria.it%2Fwcm%2Fconnect%2F97e754f1-3e16-4c34-abb3-b94b6ee215ba%2FCommon%2Bregulatory%2Bprotocol_24042020_clean.pdf%3FMOD%3DAJPERES%26CONVERT_TO%3Durl%26CACHEID%3DROOTWORKSPACE-97e754f1-3e16-4c34-abb3-b94b6ee215ba-n75wSvG" TargetMode="External"/><Relationship Id="rId1" Type="http://schemas.openxmlformats.org/officeDocument/2006/relationships/hyperlink" Target="https://eur01.safelinks.protection.outlook.com/?url=https%3A%2F%2Fclicktime.symantec.com%2F3XGMnwLbL45T91djamk1hJG6H2%3Fu%3Dhttps%253A%252F%252Finternationalview.org%252F2020%252F05%252F02%252Fcorona-gids-guide-leitfaden-documentation%252F&amp;data=02%7C01%7CSolene.Guillemot%40industriall-europe.eu%7C063321121fff4a8a446808d80c7a5ce2%7Caba971db37f44611ac7cfb9911ba2369%7C1%7C0%7C637273066992627702&amp;sdata=BJ4bKt%2Bcnu8%2BVi4Mbka%2BAjkfpoDh64nDJCIlOeFJ8oo%3D&amp;reserved=0" TargetMode="External"/><Relationship Id="rId6" Type="http://schemas.openxmlformats.org/officeDocument/2006/relationships/hyperlink" Target="https://www.bgrci.de/praevention/coronavirus/" TargetMode="External"/><Relationship Id="rId5" Type="http://schemas.openxmlformats.org/officeDocument/2006/relationships/hyperlink" Target="https://www.bmas.de/SharedDocs/Downloads/DE/PDF-Schwerpunkte/sars-cov-2-arbeitsschutzstandard.pdf?__blob=publicationFile&amp;v=1" TargetMode="External"/><Relationship Id="rId4" Type="http://schemas.openxmlformats.org/officeDocument/2006/relationships/hyperlink" Target="https://www.francechimie.fr/media/2dd/pratiques-coronavirus-branche-chimie-rev4-2020-07-0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global/topics/safety-and-health-at-work/resources-library/publications/WCMS_745549/lang--en/index.htm" TargetMode="External"/><Relationship Id="rId1" Type="http://schemas.openxmlformats.org/officeDocument/2006/relationships/hyperlink" Target="https://oshwiki.eu/wiki/COVID-19:_Back_to_the_workplace_-_Adapting_workplaces_and_protecting_work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49E9A65606B44EB1D0BCC20D6B32D8" ma:contentTypeVersion="10" ma:contentTypeDescription="Create a new document." ma:contentTypeScope="" ma:versionID="1ee6acb4cf648325634be6f1375c625e">
  <xsd:schema xmlns:xsd="http://www.w3.org/2001/XMLSchema" xmlns:xs="http://www.w3.org/2001/XMLSchema" xmlns:p="http://schemas.microsoft.com/office/2006/metadata/properties" xmlns:ns2="4a8c3e58-e54a-4ee6-92d1-da72d3bce027" targetNamespace="http://schemas.microsoft.com/office/2006/metadata/properties" ma:root="true" ma:fieldsID="b05216d5f793f60c7b0f8dc9b9bf3c69" ns2:_="">
    <xsd:import namespace="4a8c3e58-e54a-4ee6-92d1-da72d3bce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c3e58-e54a-4ee6-92d1-da72d3bce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34FAF-2CDF-4C62-ACDE-D615C7548BA5}">
  <ds:schemaRefs>
    <ds:schemaRef ds:uri="http://schemas.openxmlformats.org/officeDocument/2006/bibliography"/>
  </ds:schemaRefs>
</ds:datastoreItem>
</file>

<file path=customXml/itemProps2.xml><?xml version="1.0" encoding="utf-8"?>
<ds:datastoreItem xmlns:ds="http://schemas.openxmlformats.org/officeDocument/2006/customXml" ds:itemID="{F9BF5D36-3902-4E71-A1C0-436973AF6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65C29-9C9F-4006-814B-87659830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c3e58-e54a-4ee6-92d1-da72d3bce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CF6C5-61C5-438A-BF4C-D5A522725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Argutyan Emma</dc:creator>
  <cp:keywords/>
  <dc:description/>
  <cp:lastModifiedBy>Andrea Husen-Bradley</cp:lastModifiedBy>
  <cp:revision>2</cp:revision>
  <dcterms:created xsi:type="dcterms:W3CDTF">2020-07-17T10:19:00Z</dcterms:created>
  <dcterms:modified xsi:type="dcterms:W3CDTF">2020-07-17T10:19:00Z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0x010100FF49E9A65606B44EB1D0BCC20D6B32D8</vt:lpwstr>
  </property>
</Properties>
</file>